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0B4F3A" w14:textId="77777777" w:rsidR="009219BF" w:rsidRDefault="009219BF" w:rsidP="007F1F1C">
      <w:pPr>
        <w:rPr>
          <w:rFonts w:ascii="Calibri" w:eastAsia="Calibri" w:hAnsi="Calibri" w:cs="Calibri"/>
          <w:u w:val="single"/>
        </w:rPr>
      </w:pPr>
      <w:r>
        <w:rPr>
          <w:noProof/>
        </w:rPr>
        <w:drawing>
          <wp:anchor distT="0" distB="0" distL="114300" distR="114300" simplePos="0" relativeHeight="251660288" behindDoc="1" locked="0" layoutInCell="0" allowOverlap="0" wp14:anchorId="64E0B826" wp14:editId="1C058969">
            <wp:simplePos x="0" y="0"/>
            <wp:positionH relativeFrom="margin">
              <wp:align>center</wp:align>
            </wp:positionH>
            <wp:positionV relativeFrom="margin">
              <wp:align>top</wp:align>
            </wp:positionV>
            <wp:extent cx="3332480" cy="941705"/>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2480" cy="941705"/>
                    </a:xfrm>
                    <a:prstGeom prst="rect">
                      <a:avLst/>
                    </a:prstGeom>
                    <a:noFill/>
                  </pic:spPr>
                </pic:pic>
              </a:graphicData>
            </a:graphic>
            <wp14:sizeRelH relativeFrom="page">
              <wp14:pctWidth>0</wp14:pctWidth>
            </wp14:sizeRelH>
            <wp14:sizeRelV relativeFrom="page">
              <wp14:pctHeight>0</wp14:pctHeight>
            </wp14:sizeRelV>
          </wp:anchor>
        </w:drawing>
      </w:r>
    </w:p>
    <w:p w14:paraId="15EB452E" w14:textId="77777777" w:rsidR="009219BF" w:rsidRDefault="009219BF" w:rsidP="007F1F1C">
      <w:pPr>
        <w:rPr>
          <w:rFonts w:eastAsia="Calibri"/>
        </w:rPr>
      </w:pPr>
    </w:p>
    <w:p w14:paraId="7DC9B8C5" w14:textId="77777777" w:rsidR="009219BF" w:rsidRDefault="009219BF" w:rsidP="007F1F1C">
      <w:pPr>
        <w:rPr>
          <w:rFonts w:eastAsia="Calibri"/>
        </w:rPr>
      </w:pPr>
    </w:p>
    <w:p w14:paraId="3EC24D36" w14:textId="77777777" w:rsidR="009219BF" w:rsidRDefault="009219BF" w:rsidP="007F1F1C">
      <w:pPr>
        <w:rPr>
          <w:rFonts w:eastAsia="Calibri"/>
        </w:rPr>
      </w:pPr>
    </w:p>
    <w:p w14:paraId="3F18DCF8" w14:textId="77777777" w:rsidR="009219BF" w:rsidRDefault="009219BF" w:rsidP="007F1F1C">
      <w:pPr>
        <w:rPr>
          <w:rFonts w:eastAsia="Calibri"/>
        </w:rPr>
      </w:pPr>
    </w:p>
    <w:p w14:paraId="37E1F375" w14:textId="77777777" w:rsidR="009219BF" w:rsidRDefault="009219BF" w:rsidP="007F1F1C">
      <w:pPr>
        <w:rPr>
          <w:rFonts w:eastAsia="Calibri"/>
        </w:rPr>
      </w:pPr>
    </w:p>
    <w:p w14:paraId="72458F6A" w14:textId="77777777" w:rsidR="009219BF" w:rsidRDefault="009219BF" w:rsidP="007F1F1C">
      <w:pPr>
        <w:rPr>
          <w:rFonts w:eastAsia="Calibri"/>
        </w:rPr>
      </w:pPr>
    </w:p>
    <w:p w14:paraId="719BD362" w14:textId="77777777" w:rsidR="009219BF" w:rsidRDefault="009219BF" w:rsidP="007F1F1C">
      <w:pPr>
        <w:rPr>
          <w:rFonts w:eastAsia="Calibri"/>
        </w:rPr>
      </w:pPr>
    </w:p>
    <w:p w14:paraId="02095CCD" w14:textId="77777777" w:rsidR="009219BF" w:rsidRDefault="009219BF" w:rsidP="007F1F1C">
      <w:pPr>
        <w:rPr>
          <w:rFonts w:eastAsia="Calibri"/>
        </w:rPr>
      </w:pPr>
    </w:p>
    <w:p w14:paraId="3C39E43D" w14:textId="77777777" w:rsidR="009219BF" w:rsidRDefault="009219BF" w:rsidP="007F1F1C">
      <w:pPr>
        <w:rPr>
          <w:rFonts w:eastAsia="Calibri"/>
        </w:rPr>
      </w:pPr>
    </w:p>
    <w:p w14:paraId="13F5C1BF" w14:textId="77777777" w:rsidR="009219BF" w:rsidRDefault="009219BF" w:rsidP="007F1F1C">
      <w:pPr>
        <w:rPr>
          <w:rFonts w:eastAsia="Calibri"/>
        </w:rPr>
      </w:pPr>
    </w:p>
    <w:p w14:paraId="56166EBD" w14:textId="77777777" w:rsidR="009219BF" w:rsidRDefault="009219BF" w:rsidP="007F1F1C">
      <w:pPr>
        <w:rPr>
          <w:rFonts w:eastAsia="Calibri"/>
        </w:rPr>
      </w:pPr>
    </w:p>
    <w:p w14:paraId="35A324E6" w14:textId="77777777" w:rsidR="009219BF" w:rsidRPr="00DB71EB" w:rsidRDefault="009219BF" w:rsidP="007F1F1C">
      <w:pPr>
        <w:rPr>
          <w:rFonts w:eastAsia="Calibri"/>
        </w:rPr>
      </w:pPr>
    </w:p>
    <w:p w14:paraId="4ECB5608" w14:textId="77777777" w:rsidR="00CD7C84" w:rsidRPr="008E5242" w:rsidRDefault="00BD5FA6" w:rsidP="00023DC6">
      <w:pPr>
        <w:jc w:val="center"/>
        <w:rPr>
          <w:rFonts w:eastAsia="Calibri"/>
          <w:b/>
          <w:bCs/>
          <w:sz w:val="48"/>
          <w:szCs w:val="48"/>
        </w:rPr>
      </w:pPr>
      <w:r w:rsidRPr="008E5242">
        <w:rPr>
          <w:rFonts w:eastAsia="Calibri"/>
          <w:b/>
          <w:bCs/>
          <w:sz w:val="48"/>
          <w:szCs w:val="48"/>
        </w:rPr>
        <w:t>Grants</w:t>
      </w:r>
      <w:r w:rsidR="00CD7C84" w:rsidRPr="008E5242">
        <w:rPr>
          <w:rFonts w:eastAsia="Calibri"/>
          <w:b/>
          <w:bCs/>
          <w:sz w:val="48"/>
          <w:szCs w:val="48"/>
        </w:rPr>
        <w:t xml:space="preserve">, Loans, </w:t>
      </w:r>
      <w:r w:rsidRPr="008E5242">
        <w:rPr>
          <w:rFonts w:eastAsia="Calibri"/>
          <w:b/>
          <w:bCs/>
          <w:sz w:val="48"/>
          <w:szCs w:val="48"/>
        </w:rPr>
        <w:t xml:space="preserve">and </w:t>
      </w:r>
      <w:r w:rsidR="00CD7C84" w:rsidRPr="008E5242">
        <w:rPr>
          <w:rFonts w:eastAsia="Calibri"/>
          <w:b/>
          <w:bCs/>
          <w:sz w:val="48"/>
          <w:szCs w:val="48"/>
        </w:rPr>
        <w:t>Other</w:t>
      </w:r>
      <w:r w:rsidR="00DB71EB" w:rsidRPr="008E5242">
        <w:rPr>
          <w:rFonts w:eastAsia="Calibri"/>
          <w:b/>
          <w:bCs/>
          <w:sz w:val="48"/>
          <w:szCs w:val="48"/>
        </w:rPr>
        <w:t xml:space="preserve"> Cashflow</w:t>
      </w:r>
      <w:r w:rsidRPr="008E5242">
        <w:rPr>
          <w:rFonts w:eastAsia="Calibri"/>
          <w:b/>
          <w:bCs/>
          <w:sz w:val="48"/>
          <w:szCs w:val="48"/>
        </w:rPr>
        <w:t xml:space="preserve"> Options</w:t>
      </w:r>
    </w:p>
    <w:p w14:paraId="69B05FDF" w14:textId="77777777" w:rsidR="00B40E2A" w:rsidRPr="00023DC6" w:rsidRDefault="00BD5FA6" w:rsidP="00023DC6">
      <w:pPr>
        <w:jc w:val="center"/>
        <w:rPr>
          <w:rFonts w:eastAsia="Calibri"/>
          <w:b/>
          <w:bCs/>
          <w:sz w:val="40"/>
          <w:szCs w:val="40"/>
        </w:rPr>
      </w:pPr>
      <w:r w:rsidRPr="00023DC6">
        <w:rPr>
          <w:rFonts w:eastAsia="Calibri"/>
          <w:b/>
          <w:bCs/>
          <w:sz w:val="40"/>
          <w:szCs w:val="40"/>
        </w:rPr>
        <w:t xml:space="preserve">for </w:t>
      </w:r>
      <w:r w:rsidR="009219BF" w:rsidRPr="00023DC6">
        <w:rPr>
          <w:rFonts w:eastAsia="Calibri"/>
          <w:b/>
          <w:bCs/>
          <w:sz w:val="40"/>
          <w:szCs w:val="40"/>
        </w:rPr>
        <w:t>Health Centers</w:t>
      </w:r>
      <w:r w:rsidRPr="00023DC6">
        <w:rPr>
          <w:rFonts w:eastAsia="Calibri"/>
          <w:b/>
          <w:bCs/>
          <w:sz w:val="40"/>
          <w:szCs w:val="40"/>
        </w:rPr>
        <w:t>, PCAs, and HCCNs</w:t>
      </w:r>
    </w:p>
    <w:p w14:paraId="2E5AEE97" w14:textId="77777777" w:rsidR="009219BF" w:rsidRPr="00023DC6" w:rsidRDefault="00B40E2A" w:rsidP="00023DC6">
      <w:pPr>
        <w:jc w:val="center"/>
        <w:rPr>
          <w:b/>
          <w:bCs/>
          <w:sz w:val="40"/>
          <w:szCs w:val="40"/>
        </w:rPr>
      </w:pPr>
      <w:r w:rsidRPr="00023DC6">
        <w:rPr>
          <w:rFonts w:eastAsia="Calibri"/>
          <w:b/>
          <w:bCs/>
          <w:sz w:val="40"/>
          <w:szCs w:val="40"/>
        </w:rPr>
        <w:t>d</w:t>
      </w:r>
      <w:r w:rsidR="009219BF" w:rsidRPr="00023DC6">
        <w:rPr>
          <w:rFonts w:eastAsia="Calibri"/>
          <w:b/>
          <w:bCs/>
          <w:sz w:val="40"/>
          <w:szCs w:val="40"/>
        </w:rPr>
        <w:t xml:space="preserve">uring the Covid-19 </w:t>
      </w:r>
      <w:r w:rsidR="004A56A1">
        <w:rPr>
          <w:rFonts w:eastAsia="Calibri"/>
          <w:b/>
          <w:bCs/>
          <w:sz w:val="40"/>
          <w:szCs w:val="40"/>
        </w:rPr>
        <w:t>Pandemic</w:t>
      </w:r>
    </w:p>
    <w:p w14:paraId="717FE501" w14:textId="77777777" w:rsidR="009219BF" w:rsidRPr="00023DC6" w:rsidRDefault="009219BF" w:rsidP="00023DC6">
      <w:pPr>
        <w:jc w:val="center"/>
        <w:rPr>
          <w:sz w:val="40"/>
          <w:szCs w:val="40"/>
        </w:rPr>
      </w:pPr>
    </w:p>
    <w:p w14:paraId="52814283" w14:textId="77777777" w:rsidR="009219BF" w:rsidRPr="00023DC6" w:rsidRDefault="00B40E2A" w:rsidP="00023DC6">
      <w:pPr>
        <w:jc w:val="center"/>
        <w:rPr>
          <w:i/>
          <w:iCs/>
          <w:sz w:val="40"/>
          <w:szCs w:val="40"/>
        </w:rPr>
      </w:pPr>
      <w:r w:rsidRPr="00023DC6">
        <w:rPr>
          <w:i/>
          <w:iCs/>
          <w:sz w:val="40"/>
          <w:szCs w:val="40"/>
        </w:rPr>
        <w:t>A</w:t>
      </w:r>
      <w:r w:rsidR="009219BF" w:rsidRPr="00023DC6">
        <w:rPr>
          <w:i/>
          <w:iCs/>
          <w:sz w:val="40"/>
          <w:szCs w:val="40"/>
        </w:rPr>
        <w:t xml:space="preserve">s of </w:t>
      </w:r>
      <w:r w:rsidR="001C3211" w:rsidRPr="00023DC6">
        <w:rPr>
          <w:i/>
          <w:iCs/>
          <w:sz w:val="40"/>
          <w:szCs w:val="40"/>
        </w:rPr>
        <w:t>4/</w:t>
      </w:r>
      <w:r w:rsidR="00BD5FA6" w:rsidRPr="00023DC6">
        <w:rPr>
          <w:i/>
          <w:iCs/>
          <w:sz w:val="40"/>
          <w:szCs w:val="40"/>
        </w:rPr>
        <w:t>1</w:t>
      </w:r>
      <w:r w:rsidR="00653BFD">
        <w:rPr>
          <w:i/>
          <w:iCs/>
          <w:sz w:val="40"/>
          <w:szCs w:val="40"/>
        </w:rPr>
        <w:t>5</w:t>
      </w:r>
      <w:r w:rsidR="009219BF" w:rsidRPr="00023DC6">
        <w:rPr>
          <w:i/>
          <w:iCs/>
          <w:sz w:val="40"/>
          <w:szCs w:val="40"/>
        </w:rPr>
        <w:t>/2020</w:t>
      </w:r>
    </w:p>
    <w:p w14:paraId="43E16BD7" w14:textId="77777777" w:rsidR="009219BF" w:rsidRPr="00023DC6" w:rsidRDefault="009219BF" w:rsidP="00023DC6">
      <w:pPr>
        <w:jc w:val="center"/>
        <w:rPr>
          <w:sz w:val="40"/>
          <w:szCs w:val="40"/>
        </w:rPr>
      </w:pPr>
    </w:p>
    <w:p w14:paraId="39F2DF30" w14:textId="77777777" w:rsidR="009219BF" w:rsidRDefault="009219BF" w:rsidP="007F1F1C"/>
    <w:p w14:paraId="3569043D" w14:textId="77777777" w:rsidR="009219BF" w:rsidRPr="00A67DCA" w:rsidRDefault="009219BF" w:rsidP="007F1F1C"/>
    <w:p w14:paraId="18D45CCC" w14:textId="77777777" w:rsidR="009219BF" w:rsidRDefault="00B40E2A" w:rsidP="007F1F1C">
      <w:r w:rsidRPr="00C9201F">
        <w:rPr>
          <w:noProof/>
        </w:rPr>
        <mc:AlternateContent>
          <mc:Choice Requires="wps">
            <w:drawing>
              <wp:anchor distT="45720" distB="45720" distL="114300" distR="114300" simplePos="0" relativeHeight="251659264" behindDoc="0" locked="0" layoutInCell="1" allowOverlap="1" wp14:anchorId="1B754170" wp14:editId="7C5C1351">
                <wp:simplePos x="0" y="0"/>
                <wp:positionH relativeFrom="margin">
                  <wp:align>center</wp:align>
                </wp:positionH>
                <wp:positionV relativeFrom="paragraph">
                  <wp:posOffset>16510</wp:posOffset>
                </wp:positionV>
                <wp:extent cx="4267200" cy="904875"/>
                <wp:effectExtent l="0" t="0" r="19050" b="285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904875"/>
                        </a:xfrm>
                        <a:prstGeom prst="rect">
                          <a:avLst/>
                        </a:prstGeom>
                        <a:solidFill>
                          <a:srgbClr val="FFFFFF"/>
                        </a:solidFill>
                        <a:ln w="9525">
                          <a:solidFill>
                            <a:srgbClr val="000000"/>
                          </a:solidFill>
                          <a:miter lim="800000"/>
                          <a:headEnd/>
                          <a:tailEnd/>
                        </a:ln>
                      </wps:spPr>
                      <wps:txbx>
                        <w:txbxContent>
                          <w:p w14:paraId="5968600B" w14:textId="77777777" w:rsidR="00ED4554" w:rsidRPr="003807A7" w:rsidRDefault="00ED4554" w:rsidP="008E5242">
                            <w:pPr>
                              <w:jc w:val="center"/>
                            </w:pPr>
                            <w:r w:rsidRPr="003807A7">
                              <w:rPr>
                                <w:b/>
                                <w:bCs/>
                              </w:rPr>
                              <w:t>Important</w:t>
                            </w:r>
                            <w:r w:rsidRPr="003807A7">
                              <w:t>:  This is an evolving document, and will be updated as new information becomes available.  The  most up-to-date version of this document will always be available on the NACHC COVID</w:t>
                            </w:r>
                            <w:r>
                              <w:t>-19</w:t>
                            </w:r>
                            <w:r w:rsidRPr="003807A7">
                              <w:t xml:space="preserve"> webpage and Noddlepod.</w:t>
                            </w:r>
                          </w:p>
                          <w:p w14:paraId="14397CE9" w14:textId="77777777" w:rsidR="00ED4554" w:rsidRPr="00C9201F" w:rsidRDefault="00ED4554" w:rsidP="007F1F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BAA963" id="_x0000_t202" coordsize="21600,21600" o:spt="202" path="m,l,21600r21600,l21600,xe">
                <v:stroke joinstyle="miter"/>
                <v:path gradientshapeok="t" o:connecttype="rect"/>
              </v:shapetype>
              <v:shape id="Text Box 4" o:spid="_x0000_s1026" type="#_x0000_t202" style="position:absolute;margin-left:0;margin-top:1.3pt;width:336pt;height:71.2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">
                <v:textbox>
                  <w:txbxContent>
                    <w:p w:rsidR="00ED4554" w:rsidRPr="003807A7" w:rsidRDefault="00ED4554" w:rsidP="008E5242">
                      <w:pPr>
                        <w:jc w:val="center"/>
                      </w:pPr>
                      <w:r w:rsidRPr="003807A7">
                        <w:rPr>
                          <w:b/>
                          <w:bCs/>
                        </w:rPr>
                        <w:t>Important</w:t>
                      </w:r>
                      <w:r w:rsidRPr="003807A7">
                        <w:t>:  This is an evolving document, and will be updated as new information becomes available.  The  most up-to-date version of this document will always be available on the NACHC COVID</w:t>
                      </w:r>
                      <w:r>
                        <w:t>-19</w:t>
                      </w:r>
                      <w:r w:rsidRPr="003807A7">
                        <w:t xml:space="preserve"> webpage and Noddlepod.</w:t>
                      </w:r>
                    </w:p>
                    <w:p w:rsidR="00ED4554" w:rsidRPr="00C9201F" w:rsidRDefault="00ED4554" w:rsidP="007F1F1C"/>
                  </w:txbxContent>
                </v:textbox>
                <w10:wrap type="square" anchorx="margin"/>
              </v:shape>
            </w:pict>
          </mc:Fallback>
        </mc:AlternateContent>
      </w:r>
    </w:p>
    <w:p w14:paraId="25F8C046" w14:textId="77777777" w:rsidR="009219BF" w:rsidRDefault="009219BF" w:rsidP="007F1F1C">
      <w:pPr>
        <w:pStyle w:val="ListParagraph"/>
      </w:pPr>
      <w:r>
        <w:t xml:space="preserve"> </w:t>
      </w:r>
    </w:p>
    <w:p w14:paraId="52F4FFD1" w14:textId="77777777" w:rsidR="009219BF" w:rsidRDefault="009219BF" w:rsidP="007F1F1C">
      <w:pPr>
        <w:pStyle w:val="ListParagraph"/>
      </w:pPr>
    </w:p>
    <w:p w14:paraId="1C06CC38" w14:textId="77777777" w:rsidR="009219BF" w:rsidRDefault="009219BF" w:rsidP="007F1F1C">
      <w:pPr>
        <w:pStyle w:val="ListParagraph"/>
      </w:pPr>
    </w:p>
    <w:p w14:paraId="4BD54B46" w14:textId="77777777" w:rsidR="009219BF" w:rsidRDefault="009219BF" w:rsidP="007F1F1C">
      <w:pPr>
        <w:pStyle w:val="ListParagraph"/>
      </w:pPr>
    </w:p>
    <w:p w14:paraId="50B5887B" w14:textId="77777777" w:rsidR="009219BF" w:rsidRDefault="009219BF" w:rsidP="007F1F1C">
      <w:pPr>
        <w:pStyle w:val="ListParagraph"/>
      </w:pPr>
    </w:p>
    <w:p w14:paraId="5F41BE88" w14:textId="77777777" w:rsidR="009219BF" w:rsidRDefault="009219BF" w:rsidP="007F1F1C">
      <w:pPr>
        <w:pStyle w:val="ListParagraph"/>
      </w:pPr>
    </w:p>
    <w:p w14:paraId="78375E2A" w14:textId="77777777" w:rsidR="009219BF" w:rsidRPr="00B24361" w:rsidRDefault="009219BF" w:rsidP="007F1F1C"/>
    <w:p w14:paraId="7F246DA3" w14:textId="77777777" w:rsidR="002D12C4" w:rsidRPr="002D12C4" w:rsidRDefault="002D12C4" w:rsidP="002D12C4">
      <w:pPr>
        <w:jc w:val="center"/>
        <w:rPr>
          <w:rFonts w:eastAsia="Calibri"/>
          <w:b/>
          <w:bCs/>
          <w:sz w:val="32"/>
          <w:szCs w:val="32"/>
        </w:rPr>
      </w:pPr>
      <w:bookmarkStart w:id="0" w:name="_Toc37850317"/>
      <w:r w:rsidRPr="002D12C4">
        <w:rPr>
          <w:rFonts w:eastAsia="Calibri"/>
          <w:b/>
          <w:bCs/>
          <w:sz w:val="32"/>
          <w:szCs w:val="32"/>
        </w:rPr>
        <w:lastRenderedPageBreak/>
        <w:t>Grants, Loans, and Other Cashflow Options</w:t>
      </w:r>
    </w:p>
    <w:p w14:paraId="338EF423" w14:textId="77777777" w:rsidR="002D12C4" w:rsidRPr="002D12C4" w:rsidRDefault="002D12C4" w:rsidP="002D12C4">
      <w:pPr>
        <w:jc w:val="center"/>
        <w:rPr>
          <w:rFonts w:eastAsia="Calibri"/>
          <w:b/>
          <w:bCs/>
          <w:sz w:val="28"/>
          <w:szCs w:val="28"/>
        </w:rPr>
      </w:pPr>
      <w:r w:rsidRPr="002D12C4">
        <w:rPr>
          <w:rFonts w:eastAsia="Calibri"/>
          <w:b/>
          <w:bCs/>
          <w:sz w:val="28"/>
          <w:szCs w:val="28"/>
        </w:rPr>
        <w:t>for Health Centers, PCAs, and HCCNs</w:t>
      </w:r>
    </w:p>
    <w:p w14:paraId="0E38A82D" w14:textId="77777777" w:rsidR="002D12C4" w:rsidRPr="002D12C4" w:rsidRDefault="002D12C4" w:rsidP="002D12C4">
      <w:pPr>
        <w:jc w:val="center"/>
        <w:rPr>
          <w:b/>
          <w:bCs/>
          <w:sz w:val="28"/>
          <w:szCs w:val="28"/>
        </w:rPr>
      </w:pPr>
      <w:r w:rsidRPr="002D12C4">
        <w:rPr>
          <w:rFonts w:eastAsia="Calibri"/>
          <w:b/>
          <w:bCs/>
          <w:sz w:val="28"/>
          <w:szCs w:val="28"/>
        </w:rPr>
        <w:t>during the Covid-19 Crisis</w:t>
      </w:r>
    </w:p>
    <w:p w14:paraId="2E988870" w14:textId="77777777" w:rsidR="002D12C4" w:rsidRDefault="002D12C4">
      <w:pPr>
        <w:outlineLvl w:val="9"/>
      </w:pPr>
    </w:p>
    <w:tbl>
      <w:tblPr>
        <w:tblW w:w="10420" w:type="dxa"/>
        <w:tblLook w:val="04A0" w:firstRow="1" w:lastRow="0" w:firstColumn="1" w:lastColumn="0" w:noHBand="0" w:noVBand="1"/>
      </w:tblPr>
      <w:tblGrid>
        <w:gridCol w:w="222"/>
        <w:gridCol w:w="9984"/>
        <w:gridCol w:w="500"/>
      </w:tblGrid>
      <w:tr w:rsidR="00542B20" w:rsidRPr="00542B20" w14:paraId="2E5E8C43" w14:textId="77777777" w:rsidTr="00542B20">
        <w:trPr>
          <w:trHeight w:val="405"/>
        </w:trPr>
        <w:tc>
          <w:tcPr>
            <w:tcW w:w="10020" w:type="dxa"/>
            <w:gridSpan w:val="2"/>
            <w:tcBorders>
              <w:top w:val="nil"/>
              <w:left w:val="nil"/>
              <w:bottom w:val="nil"/>
              <w:right w:val="nil"/>
            </w:tcBorders>
            <w:shd w:val="clear" w:color="auto" w:fill="auto"/>
            <w:noWrap/>
            <w:vAlign w:val="center"/>
            <w:hideMark/>
          </w:tcPr>
          <w:p w14:paraId="2CB6EC1B" w14:textId="77777777" w:rsidR="00542B20" w:rsidRPr="00542B20" w:rsidRDefault="00542B20" w:rsidP="00542B20">
            <w:pPr>
              <w:outlineLvl w:val="9"/>
              <w:rPr>
                <w:rFonts w:ascii="Calibri" w:hAnsi="Calibri" w:cs="Calibri"/>
                <w:b/>
                <w:bCs/>
                <w:color w:val="000000"/>
                <w:sz w:val="28"/>
                <w:szCs w:val="28"/>
              </w:rPr>
            </w:pPr>
            <w:r w:rsidRPr="00542B20">
              <w:rPr>
                <w:rFonts w:ascii="Calibri" w:hAnsi="Calibri" w:cs="Calibri"/>
                <w:b/>
                <w:bCs/>
                <w:color w:val="000000"/>
                <w:sz w:val="28"/>
                <w:szCs w:val="28"/>
              </w:rPr>
              <w:t>Introduction….............................................................................................................</w:t>
            </w:r>
          </w:p>
        </w:tc>
        <w:tc>
          <w:tcPr>
            <w:tcW w:w="400" w:type="dxa"/>
            <w:tcBorders>
              <w:top w:val="nil"/>
              <w:left w:val="nil"/>
              <w:bottom w:val="nil"/>
              <w:right w:val="nil"/>
            </w:tcBorders>
            <w:shd w:val="clear" w:color="auto" w:fill="auto"/>
            <w:noWrap/>
            <w:vAlign w:val="center"/>
            <w:hideMark/>
          </w:tcPr>
          <w:p w14:paraId="008CA33A" w14:textId="77777777" w:rsidR="00542B20" w:rsidRPr="00542B20" w:rsidRDefault="00542B20" w:rsidP="00542B20">
            <w:pPr>
              <w:jc w:val="center"/>
              <w:outlineLvl w:val="9"/>
              <w:rPr>
                <w:rFonts w:ascii="Calibri" w:hAnsi="Calibri" w:cs="Calibri"/>
                <w:color w:val="000000"/>
                <w:sz w:val="28"/>
                <w:szCs w:val="28"/>
              </w:rPr>
            </w:pPr>
            <w:r w:rsidRPr="00542B20">
              <w:rPr>
                <w:rFonts w:ascii="Calibri" w:hAnsi="Calibri" w:cs="Calibri"/>
                <w:color w:val="000000"/>
                <w:sz w:val="28"/>
                <w:szCs w:val="28"/>
              </w:rPr>
              <w:t>3</w:t>
            </w:r>
          </w:p>
        </w:tc>
      </w:tr>
      <w:tr w:rsidR="00542B20" w:rsidRPr="00542B20" w14:paraId="4CD8F83B" w14:textId="77777777" w:rsidTr="00542B20">
        <w:trPr>
          <w:trHeight w:val="405"/>
        </w:trPr>
        <w:tc>
          <w:tcPr>
            <w:tcW w:w="10020" w:type="dxa"/>
            <w:gridSpan w:val="2"/>
            <w:tcBorders>
              <w:top w:val="nil"/>
              <w:left w:val="nil"/>
              <w:bottom w:val="nil"/>
              <w:right w:val="nil"/>
            </w:tcBorders>
            <w:shd w:val="clear" w:color="auto" w:fill="auto"/>
            <w:noWrap/>
            <w:vAlign w:val="center"/>
            <w:hideMark/>
          </w:tcPr>
          <w:p w14:paraId="7C37B5E9" w14:textId="77777777" w:rsidR="00542B20" w:rsidRPr="00542B20" w:rsidRDefault="00542B20" w:rsidP="00542B20">
            <w:pPr>
              <w:outlineLvl w:val="9"/>
              <w:rPr>
                <w:rFonts w:ascii="Calibri" w:hAnsi="Calibri" w:cs="Calibri"/>
                <w:b/>
                <w:bCs/>
                <w:color w:val="000000"/>
                <w:sz w:val="28"/>
                <w:szCs w:val="28"/>
              </w:rPr>
            </w:pPr>
            <w:bookmarkStart w:id="1" w:name="RANGE!D4"/>
            <w:r w:rsidRPr="00542B20">
              <w:rPr>
                <w:rFonts w:ascii="Calibri" w:hAnsi="Calibri" w:cs="Calibri"/>
                <w:b/>
                <w:bCs/>
                <w:color w:val="000000"/>
                <w:sz w:val="28"/>
                <w:szCs w:val="28"/>
              </w:rPr>
              <w:t xml:space="preserve">Grant funding provided directly by HHS to Health Centers </w:t>
            </w:r>
            <w:bookmarkEnd w:id="1"/>
          </w:p>
        </w:tc>
        <w:tc>
          <w:tcPr>
            <w:tcW w:w="400" w:type="dxa"/>
            <w:tcBorders>
              <w:top w:val="nil"/>
              <w:left w:val="nil"/>
              <w:bottom w:val="nil"/>
              <w:right w:val="nil"/>
            </w:tcBorders>
            <w:shd w:val="clear" w:color="auto" w:fill="auto"/>
            <w:noWrap/>
            <w:vAlign w:val="bottom"/>
            <w:hideMark/>
          </w:tcPr>
          <w:p w14:paraId="004AB39B" w14:textId="77777777" w:rsidR="00542B20" w:rsidRPr="00542B20" w:rsidRDefault="00542B20" w:rsidP="00542B20">
            <w:pPr>
              <w:outlineLvl w:val="9"/>
              <w:rPr>
                <w:rFonts w:ascii="Calibri" w:hAnsi="Calibri" w:cs="Calibri"/>
                <w:b/>
                <w:bCs/>
                <w:color w:val="000000"/>
                <w:sz w:val="28"/>
                <w:szCs w:val="28"/>
              </w:rPr>
            </w:pPr>
          </w:p>
        </w:tc>
      </w:tr>
      <w:tr w:rsidR="00542B20" w:rsidRPr="00542B20" w14:paraId="634723C6" w14:textId="77777777" w:rsidTr="00542B20">
        <w:trPr>
          <w:trHeight w:val="405"/>
        </w:trPr>
        <w:tc>
          <w:tcPr>
            <w:tcW w:w="36" w:type="dxa"/>
            <w:tcBorders>
              <w:top w:val="nil"/>
              <w:left w:val="nil"/>
              <w:bottom w:val="nil"/>
              <w:right w:val="nil"/>
            </w:tcBorders>
            <w:shd w:val="clear" w:color="auto" w:fill="auto"/>
            <w:noWrap/>
            <w:vAlign w:val="bottom"/>
            <w:hideMark/>
          </w:tcPr>
          <w:p w14:paraId="3AB7CEBF" w14:textId="77777777" w:rsidR="00542B20" w:rsidRPr="00542B20" w:rsidRDefault="00542B20" w:rsidP="00542B20">
            <w:pPr>
              <w:outlineLvl w:val="9"/>
              <w:rPr>
                <w:rFonts w:ascii="Times New Roman" w:hAnsi="Times New Roman" w:cs="Times New Roman"/>
                <w:sz w:val="20"/>
                <w:szCs w:val="20"/>
              </w:rPr>
            </w:pPr>
          </w:p>
        </w:tc>
        <w:tc>
          <w:tcPr>
            <w:tcW w:w="9984" w:type="dxa"/>
            <w:tcBorders>
              <w:top w:val="nil"/>
              <w:left w:val="nil"/>
              <w:bottom w:val="nil"/>
              <w:right w:val="nil"/>
            </w:tcBorders>
            <w:shd w:val="clear" w:color="auto" w:fill="auto"/>
            <w:noWrap/>
            <w:vAlign w:val="center"/>
            <w:hideMark/>
          </w:tcPr>
          <w:p w14:paraId="3883390C" w14:textId="77777777" w:rsidR="00542B20" w:rsidRPr="00542B20" w:rsidRDefault="00542B20" w:rsidP="00542B20">
            <w:pPr>
              <w:outlineLvl w:val="9"/>
              <w:rPr>
                <w:rFonts w:ascii="Calibri" w:hAnsi="Calibri" w:cs="Calibri"/>
                <w:color w:val="000000"/>
                <w:sz w:val="28"/>
                <w:szCs w:val="28"/>
              </w:rPr>
            </w:pPr>
            <w:r w:rsidRPr="00542B20">
              <w:rPr>
                <w:rFonts w:ascii="Calibri" w:hAnsi="Calibri" w:cs="Calibri"/>
                <w:color w:val="000000"/>
                <w:sz w:val="28"/>
                <w:szCs w:val="28"/>
              </w:rPr>
              <w:t xml:space="preserve">Summary Chart….............................................................................................................. </w:t>
            </w:r>
          </w:p>
        </w:tc>
        <w:tc>
          <w:tcPr>
            <w:tcW w:w="400" w:type="dxa"/>
            <w:tcBorders>
              <w:top w:val="nil"/>
              <w:left w:val="nil"/>
              <w:bottom w:val="nil"/>
              <w:right w:val="nil"/>
            </w:tcBorders>
            <w:shd w:val="clear" w:color="auto" w:fill="auto"/>
            <w:noWrap/>
            <w:vAlign w:val="center"/>
            <w:hideMark/>
          </w:tcPr>
          <w:p w14:paraId="1D305C06" w14:textId="77777777" w:rsidR="00542B20" w:rsidRPr="00542B20" w:rsidRDefault="00542B20" w:rsidP="00542B20">
            <w:pPr>
              <w:jc w:val="center"/>
              <w:outlineLvl w:val="9"/>
              <w:rPr>
                <w:rFonts w:ascii="Calibri" w:hAnsi="Calibri" w:cs="Calibri"/>
                <w:color w:val="000000"/>
                <w:sz w:val="28"/>
                <w:szCs w:val="28"/>
              </w:rPr>
            </w:pPr>
            <w:r w:rsidRPr="00542B20">
              <w:rPr>
                <w:rFonts w:ascii="Calibri" w:hAnsi="Calibri" w:cs="Calibri"/>
                <w:color w:val="000000"/>
                <w:sz w:val="28"/>
                <w:szCs w:val="28"/>
              </w:rPr>
              <w:t>4</w:t>
            </w:r>
          </w:p>
        </w:tc>
      </w:tr>
      <w:tr w:rsidR="00542B20" w:rsidRPr="00542B20" w14:paraId="7228B730" w14:textId="77777777" w:rsidTr="00542B20">
        <w:trPr>
          <w:trHeight w:val="405"/>
        </w:trPr>
        <w:tc>
          <w:tcPr>
            <w:tcW w:w="36" w:type="dxa"/>
            <w:tcBorders>
              <w:top w:val="nil"/>
              <w:left w:val="nil"/>
              <w:bottom w:val="nil"/>
              <w:right w:val="nil"/>
            </w:tcBorders>
            <w:shd w:val="clear" w:color="auto" w:fill="auto"/>
            <w:noWrap/>
            <w:vAlign w:val="bottom"/>
            <w:hideMark/>
          </w:tcPr>
          <w:p w14:paraId="3B345BB7" w14:textId="77777777" w:rsidR="00542B20" w:rsidRPr="00542B20" w:rsidRDefault="00542B20" w:rsidP="00542B20">
            <w:pPr>
              <w:jc w:val="center"/>
              <w:outlineLvl w:val="9"/>
              <w:rPr>
                <w:rFonts w:ascii="Calibri" w:hAnsi="Calibri" w:cs="Calibri"/>
                <w:color w:val="000000"/>
                <w:sz w:val="28"/>
                <w:szCs w:val="28"/>
              </w:rPr>
            </w:pPr>
          </w:p>
        </w:tc>
        <w:tc>
          <w:tcPr>
            <w:tcW w:w="9984" w:type="dxa"/>
            <w:tcBorders>
              <w:top w:val="nil"/>
              <w:left w:val="nil"/>
              <w:bottom w:val="nil"/>
              <w:right w:val="nil"/>
            </w:tcBorders>
            <w:shd w:val="clear" w:color="auto" w:fill="auto"/>
            <w:noWrap/>
            <w:vAlign w:val="center"/>
            <w:hideMark/>
          </w:tcPr>
          <w:p w14:paraId="62AF4DD3" w14:textId="77777777" w:rsidR="00542B20" w:rsidRPr="00542B20" w:rsidRDefault="00542B20" w:rsidP="00542B20">
            <w:pPr>
              <w:outlineLvl w:val="9"/>
              <w:rPr>
                <w:rFonts w:ascii="Calibri" w:hAnsi="Calibri" w:cs="Calibri"/>
                <w:color w:val="000000"/>
                <w:sz w:val="28"/>
                <w:szCs w:val="28"/>
              </w:rPr>
            </w:pPr>
            <w:r w:rsidRPr="00542B20">
              <w:rPr>
                <w:rFonts w:ascii="Calibri" w:hAnsi="Calibri" w:cs="Calibri"/>
                <w:color w:val="000000"/>
                <w:sz w:val="28"/>
                <w:szCs w:val="28"/>
              </w:rPr>
              <w:t>BPHC Grant Funding during the COVID-19 emergency …................................................</w:t>
            </w:r>
          </w:p>
        </w:tc>
        <w:tc>
          <w:tcPr>
            <w:tcW w:w="400" w:type="dxa"/>
            <w:tcBorders>
              <w:top w:val="nil"/>
              <w:left w:val="nil"/>
              <w:bottom w:val="nil"/>
              <w:right w:val="nil"/>
            </w:tcBorders>
            <w:shd w:val="clear" w:color="auto" w:fill="auto"/>
            <w:noWrap/>
            <w:vAlign w:val="center"/>
            <w:hideMark/>
          </w:tcPr>
          <w:p w14:paraId="7A498964" w14:textId="77777777" w:rsidR="00542B20" w:rsidRPr="00542B20" w:rsidRDefault="00542B20" w:rsidP="00542B20">
            <w:pPr>
              <w:jc w:val="center"/>
              <w:outlineLvl w:val="9"/>
              <w:rPr>
                <w:rFonts w:ascii="Calibri" w:hAnsi="Calibri" w:cs="Calibri"/>
                <w:color w:val="000000"/>
                <w:sz w:val="28"/>
                <w:szCs w:val="28"/>
              </w:rPr>
            </w:pPr>
            <w:r w:rsidRPr="00542B20">
              <w:rPr>
                <w:rFonts w:ascii="Calibri" w:hAnsi="Calibri" w:cs="Calibri"/>
                <w:color w:val="000000"/>
                <w:sz w:val="28"/>
                <w:szCs w:val="28"/>
              </w:rPr>
              <w:t>6</w:t>
            </w:r>
          </w:p>
        </w:tc>
      </w:tr>
      <w:tr w:rsidR="00542B20" w:rsidRPr="00542B20" w14:paraId="4D56A7E7" w14:textId="77777777" w:rsidTr="00542B20">
        <w:trPr>
          <w:trHeight w:val="405"/>
        </w:trPr>
        <w:tc>
          <w:tcPr>
            <w:tcW w:w="36" w:type="dxa"/>
            <w:tcBorders>
              <w:top w:val="nil"/>
              <w:left w:val="nil"/>
              <w:bottom w:val="nil"/>
              <w:right w:val="nil"/>
            </w:tcBorders>
            <w:shd w:val="clear" w:color="auto" w:fill="auto"/>
            <w:noWrap/>
            <w:vAlign w:val="bottom"/>
            <w:hideMark/>
          </w:tcPr>
          <w:p w14:paraId="1F08A201" w14:textId="77777777" w:rsidR="00542B20" w:rsidRPr="00542B20" w:rsidRDefault="00542B20" w:rsidP="00542B20">
            <w:pPr>
              <w:jc w:val="center"/>
              <w:outlineLvl w:val="9"/>
              <w:rPr>
                <w:rFonts w:ascii="Calibri" w:hAnsi="Calibri" w:cs="Calibri"/>
                <w:color w:val="000000"/>
                <w:sz w:val="28"/>
                <w:szCs w:val="28"/>
              </w:rPr>
            </w:pPr>
          </w:p>
        </w:tc>
        <w:tc>
          <w:tcPr>
            <w:tcW w:w="9984" w:type="dxa"/>
            <w:tcBorders>
              <w:top w:val="nil"/>
              <w:left w:val="nil"/>
              <w:bottom w:val="nil"/>
              <w:right w:val="nil"/>
            </w:tcBorders>
            <w:shd w:val="clear" w:color="auto" w:fill="auto"/>
            <w:noWrap/>
            <w:vAlign w:val="center"/>
            <w:hideMark/>
          </w:tcPr>
          <w:p w14:paraId="293BB3B1" w14:textId="77777777" w:rsidR="00542B20" w:rsidRPr="00542B20" w:rsidRDefault="00542B20" w:rsidP="00542B20">
            <w:pPr>
              <w:outlineLvl w:val="9"/>
              <w:rPr>
                <w:rFonts w:ascii="Calibri" w:hAnsi="Calibri" w:cs="Calibri"/>
                <w:color w:val="000000"/>
                <w:sz w:val="28"/>
                <w:szCs w:val="28"/>
              </w:rPr>
            </w:pPr>
            <w:bookmarkStart w:id="2" w:name="RANGE!E7"/>
            <w:r w:rsidRPr="00542B20">
              <w:rPr>
                <w:rFonts w:ascii="Calibri" w:hAnsi="Calibri" w:cs="Calibri"/>
                <w:color w:val="000000"/>
                <w:sz w:val="28"/>
                <w:szCs w:val="28"/>
              </w:rPr>
              <w:t>$100 Billion CARES Provider Relief Fund…......................................................................</w:t>
            </w:r>
            <w:bookmarkEnd w:id="2"/>
          </w:p>
        </w:tc>
        <w:tc>
          <w:tcPr>
            <w:tcW w:w="400" w:type="dxa"/>
            <w:tcBorders>
              <w:top w:val="nil"/>
              <w:left w:val="nil"/>
              <w:bottom w:val="nil"/>
              <w:right w:val="nil"/>
            </w:tcBorders>
            <w:shd w:val="clear" w:color="auto" w:fill="auto"/>
            <w:noWrap/>
            <w:vAlign w:val="center"/>
            <w:hideMark/>
          </w:tcPr>
          <w:p w14:paraId="72695109" w14:textId="77777777" w:rsidR="00542B20" w:rsidRPr="00542B20" w:rsidRDefault="00542B20" w:rsidP="00542B20">
            <w:pPr>
              <w:jc w:val="center"/>
              <w:outlineLvl w:val="9"/>
              <w:rPr>
                <w:rFonts w:ascii="Calibri" w:hAnsi="Calibri" w:cs="Calibri"/>
                <w:color w:val="000000"/>
                <w:sz w:val="28"/>
                <w:szCs w:val="28"/>
              </w:rPr>
            </w:pPr>
            <w:r w:rsidRPr="00542B20">
              <w:rPr>
                <w:rFonts w:ascii="Calibri" w:hAnsi="Calibri" w:cs="Calibri"/>
                <w:color w:val="000000"/>
                <w:sz w:val="28"/>
                <w:szCs w:val="28"/>
              </w:rPr>
              <w:t>8</w:t>
            </w:r>
          </w:p>
        </w:tc>
      </w:tr>
      <w:tr w:rsidR="00542B20" w:rsidRPr="00542B20" w14:paraId="124F3B21" w14:textId="77777777" w:rsidTr="00542B20">
        <w:trPr>
          <w:trHeight w:val="735"/>
        </w:trPr>
        <w:tc>
          <w:tcPr>
            <w:tcW w:w="10020" w:type="dxa"/>
            <w:gridSpan w:val="2"/>
            <w:tcBorders>
              <w:top w:val="nil"/>
              <w:left w:val="nil"/>
              <w:bottom w:val="nil"/>
              <w:right w:val="nil"/>
            </w:tcBorders>
            <w:shd w:val="clear" w:color="auto" w:fill="auto"/>
            <w:vAlign w:val="center"/>
            <w:hideMark/>
          </w:tcPr>
          <w:p w14:paraId="10741679" w14:textId="77777777" w:rsidR="00542B20" w:rsidRPr="00542B20" w:rsidRDefault="00542B20" w:rsidP="00542B20">
            <w:pPr>
              <w:outlineLvl w:val="9"/>
              <w:rPr>
                <w:rFonts w:ascii="Calibri" w:hAnsi="Calibri" w:cs="Calibri"/>
                <w:b/>
                <w:bCs/>
                <w:color w:val="000000"/>
                <w:sz w:val="28"/>
                <w:szCs w:val="28"/>
              </w:rPr>
            </w:pPr>
            <w:bookmarkStart w:id="3" w:name="RANGE!D8"/>
            <w:r w:rsidRPr="00542B20">
              <w:rPr>
                <w:rFonts w:ascii="Calibri" w:hAnsi="Calibri" w:cs="Calibri"/>
                <w:b/>
                <w:bCs/>
                <w:color w:val="000000"/>
                <w:sz w:val="28"/>
                <w:szCs w:val="28"/>
              </w:rPr>
              <w:t>Cashflow Options (beyond HHS grants) open to Health Centers, PCAs and HCCNs with LESS than 500 employees</w:t>
            </w:r>
            <w:bookmarkEnd w:id="3"/>
          </w:p>
        </w:tc>
        <w:tc>
          <w:tcPr>
            <w:tcW w:w="400" w:type="dxa"/>
            <w:tcBorders>
              <w:top w:val="nil"/>
              <w:left w:val="nil"/>
              <w:bottom w:val="nil"/>
              <w:right w:val="nil"/>
            </w:tcBorders>
            <w:shd w:val="clear" w:color="auto" w:fill="auto"/>
            <w:noWrap/>
            <w:vAlign w:val="bottom"/>
            <w:hideMark/>
          </w:tcPr>
          <w:p w14:paraId="508ED35B" w14:textId="77777777" w:rsidR="00542B20" w:rsidRPr="00542B20" w:rsidRDefault="00542B20" w:rsidP="00542B20">
            <w:pPr>
              <w:outlineLvl w:val="9"/>
              <w:rPr>
                <w:rFonts w:ascii="Calibri" w:hAnsi="Calibri" w:cs="Calibri"/>
                <w:b/>
                <w:bCs/>
                <w:color w:val="000000"/>
                <w:sz w:val="28"/>
                <w:szCs w:val="28"/>
              </w:rPr>
            </w:pPr>
          </w:p>
        </w:tc>
      </w:tr>
      <w:tr w:rsidR="00542B20" w:rsidRPr="00542B20" w14:paraId="70E6F402" w14:textId="77777777" w:rsidTr="00542B20">
        <w:trPr>
          <w:trHeight w:val="405"/>
        </w:trPr>
        <w:tc>
          <w:tcPr>
            <w:tcW w:w="36" w:type="dxa"/>
            <w:tcBorders>
              <w:top w:val="nil"/>
              <w:left w:val="nil"/>
              <w:bottom w:val="nil"/>
              <w:right w:val="nil"/>
            </w:tcBorders>
            <w:shd w:val="clear" w:color="auto" w:fill="auto"/>
            <w:noWrap/>
            <w:vAlign w:val="center"/>
            <w:hideMark/>
          </w:tcPr>
          <w:p w14:paraId="049C1824" w14:textId="77777777" w:rsidR="00542B20" w:rsidRPr="00542B20" w:rsidRDefault="00542B20" w:rsidP="00542B20">
            <w:pPr>
              <w:outlineLvl w:val="9"/>
              <w:rPr>
                <w:rFonts w:ascii="Times New Roman" w:hAnsi="Times New Roman" w:cs="Times New Roman"/>
                <w:sz w:val="20"/>
                <w:szCs w:val="20"/>
              </w:rPr>
            </w:pPr>
            <w:bookmarkStart w:id="4" w:name="RANGE!D9"/>
            <w:bookmarkEnd w:id="4"/>
          </w:p>
        </w:tc>
        <w:tc>
          <w:tcPr>
            <w:tcW w:w="9984" w:type="dxa"/>
            <w:tcBorders>
              <w:top w:val="nil"/>
              <w:left w:val="nil"/>
              <w:bottom w:val="nil"/>
              <w:right w:val="nil"/>
            </w:tcBorders>
            <w:shd w:val="clear" w:color="auto" w:fill="auto"/>
            <w:noWrap/>
            <w:vAlign w:val="center"/>
            <w:hideMark/>
          </w:tcPr>
          <w:p w14:paraId="7356C490" w14:textId="77777777" w:rsidR="00542B20" w:rsidRPr="00542B20" w:rsidRDefault="00542B20" w:rsidP="00542B20">
            <w:pPr>
              <w:outlineLvl w:val="9"/>
              <w:rPr>
                <w:rFonts w:ascii="Calibri" w:hAnsi="Calibri" w:cs="Calibri"/>
                <w:color w:val="000000"/>
                <w:sz w:val="28"/>
                <w:szCs w:val="28"/>
              </w:rPr>
            </w:pPr>
            <w:r w:rsidRPr="00542B20">
              <w:rPr>
                <w:rFonts w:ascii="Calibri" w:hAnsi="Calibri" w:cs="Calibri"/>
                <w:color w:val="000000"/>
                <w:sz w:val="28"/>
                <w:szCs w:val="28"/>
              </w:rPr>
              <w:t>Summary Chart…..............................................................................................................</w:t>
            </w:r>
          </w:p>
        </w:tc>
        <w:tc>
          <w:tcPr>
            <w:tcW w:w="400" w:type="dxa"/>
            <w:tcBorders>
              <w:top w:val="nil"/>
              <w:left w:val="nil"/>
              <w:bottom w:val="nil"/>
              <w:right w:val="nil"/>
            </w:tcBorders>
            <w:shd w:val="clear" w:color="auto" w:fill="auto"/>
            <w:noWrap/>
            <w:vAlign w:val="center"/>
            <w:hideMark/>
          </w:tcPr>
          <w:p w14:paraId="62BFBDF3" w14:textId="77777777" w:rsidR="00542B20" w:rsidRPr="00542B20" w:rsidRDefault="00542B20" w:rsidP="00542B20">
            <w:pPr>
              <w:jc w:val="center"/>
              <w:outlineLvl w:val="9"/>
              <w:rPr>
                <w:rFonts w:ascii="Calibri" w:hAnsi="Calibri" w:cs="Calibri"/>
                <w:color w:val="000000"/>
                <w:sz w:val="28"/>
                <w:szCs w:val="28"/>
              </w:rPr>
            </w:pPr>
            <w:r w:rsidRPr="00542B20">
              <w:rPr>
                <w:rFonts w:ascii="Calibri" w:hAnsi="Calibri" w:cs="Calibri"/>
                <w:color w:val="000000"/>
                <w:sz w:val="28"/>
                <w:szCs w:val="28"/>
              </w:rPr>
              <w:t>9</w:t>
            </w:r>
          </w:p>
        </w:tc>
      </w:tr>
      <w:tr w:rsidR="00542B20" w:rsidRPr="00542B20" w14:paraId="775D2FEA" w14:textId="77777777" w:rsidTr="00542B20">
        <w:trPr>
          <w:trHeight w:val="405"/>
        </w:trPr>
        <w:tc>
          <w:tcPr>
            <w:tcW w:w="36" w:type="dxa"/>
            <w:tcBorders>
              <w:top w:val="nil"/>
              <w:left w:val="nil"/>
              <w:bottom w:val="nil"/>
              <w:right w:val="nil"/>
            </w:tcBorders>
            <w:shd w:val="clear" w:color="auto" w:fill="auto"/>
            <w:noWrap/>
            <w:vAlign w:val="bottom"/>
            <w:hideMark/>
          </w:tcPr>
          <w:p w14:paraId="672BDDAC" w14:textId="77777777" w:rsidR="00542B20" w:rsidRPr="00542B20" w:rsidRDefault="00542B20" w:rsidP="00542B20">
            <w:pPr>
              <w:jc w:val="center"/>
              <w:outlineLvl w:val="9"/>
              <w:rPr>
                <w:rFonts w:ascii="Calibri" w:hAnsi="Calibri" w:cs="Calibri"/>
                <w:color w:val="000000"/>
                <w:sz w:val="28"/>
                <w:szCs w:val="28"/>
              </w:rPr>
            </w:pPr>
          </w:p>
        </w:tc>
        <w:tc>
          <w:tcPr>
            <w:tcW w:w="9984" w:type="dxa"/>
            <w:tcBorders>
              <w:top w:val="nil"/>
              <w:left w:val="nil"/>
              <w:bottom w:val="nil"/>
              <w:right w:val="nil"/>
            </w:tcBorders>
            <w:shd w:val="clear" w:color="auto" w:fill="auto"/>
            <w:noWrap/>
            <w:vAlign w:val="center"/>
            <w:hideMark/>
          </w:tcPr>
          <w:p w14:paraId="18E3ED86" w14:textId="77777777" w:rsidR="00542B20" w:rsidRPr="00542B20" w:rsidRDefault="00542B20" w:rsidP="00542B20">
            <w:pPr>
              <w:outlineLvl w:val="9"/>
              <w:rPr>
                <w:rFonts w:ascii="Calibri" w:hAnsi="Calibri" w:cs="Calibri"/>
                <w:color w:val="000000"/>
                <w:sz w:val="28"/>
                <w:szCs w:val="28"/>
              </w:rPr>
            </w:pPr>
            <w:bookmarkStart w:id="5" w:name="RANGE!E10"/>
            <w:r w:rsidRPr="00542B20">
              <w:rPr>
                <w:rFonts w:ascii="Calibri" w:hAnsi="Calibri" w:cs="Calibri"/>
                <w:color w:val="000000"/>
                <w:sz w:val="28"/>
                <w:szCs w:val="28"/>
              </w:rPr>
              <w:t>Paycheck Protection Program (PPP) Loans…….................................................................</w:t>
            </w:r>
            <w:bookmarkEnd w:id="5"/>
          </w:p>
        </w:tc>
        <w:tc>
          <w:tcPr>
            <w:tcW w:w="400" w:type="dxa"/>
            <w:tcBorders>
              <w:top w:val="nil"/>
              <w:left w:val="nil"/>
              <w:bottom w:val="nil"/>
              <w:right w:val="nil"/>
            </w:tcBorders>
            <w:shd w:val="clear" w:color="auto" w:fill="auto"/>
            <w:noWrap/>
            <w:vAlign w:val="center"/>
            <w:hideMark/>
          </w:tcPr>
          <w:p w14:paraId="7B1BDF94" w14:textId="77777777" w:rsidR="00542B20" w:rsidRPr="00542B20" w:rsidRDefault="00542B20" w:rsidP="00542B20">
            <w:pPr>
              <w:jc w:val="center"/>
              <w:outlineLvl w:val="9"/>
              <w:rPr>
                <w:rFonts w:ascii="Calibri" w:hAnsi="Calibri" w:cs="Calibri"/>
                <w:color w:val="000000"/>
                <w:sz w:val="28"/>
                <w:szCs w:val="28"/>
              </w:rPr>
            </w:pPr>
            <w:r w:rsidRPr="00542B20">
              <w:rPr>
                <w:rFonts w:ascii="Calibri" w:hAnsi="Calibri" w:cs="Calibri"/>
                <w:color w:val="000000"/>
                <w:sz w:val="28"/>
                <w:szCs w:val="28"/>
              </w:rPr>
              <w:t>10</w:t>
            </w:r>
          </w:p>
        </w:tc>
      </w:tr>
      <w:tr w:rsidR="00542B20" w:rsidRPr="00542B20" w14:paraId="01E40419" w14:textId="77777777" w:rsidTr="00542B20">
        <w:trPr>
          <w:trHeight w:val="405"/>
        </w:trPr>
        <w:tc>
          <w:tcPr>
            <w:tcW w:w="36" w:type="dxa"/>
            <w:tcBorders>
              <w:top w:val="nil"/>
              <w:left w:val="nil"/>
              <w:bottom w:val="nil"/>
              <w:right w:val="nil"/>
            </w:tcBorders>
            <w:shd w:val="clear" w:color="auto" w:fill="auto"/>
            <w:noWrap/>
            <w:vAlign w:val="bottom"/>
            <w:hideMark/>
          </w:tcPr>
          <w:p w14:paraId="4D042DA7" w14:textId="77777777" w:rsidR="00542B20" w:rsidRPr="00542B20" w:rsidRDefault="00542B20" w:rsidP="00542B20">
            <w:pPr>
              <w:jc w:val="center"/>
              <w:outlineLvl w:val="9"/>
              <w:rPr>
                <w:rFonts w:ascii="Calibri" w:hAnsi="Calibri" w:cs="Calibri"/>
                <w:color w:val="000000"/>
                <w:sz w:val="28"/>
                <w:szCs w:val="28"/>
              </w:rPr>
            </w:pPr>
          </w:p>
        </w:tc>
        <w:tc>
          <w:tcPr>
            <w:tcW w:w="9984" w:type="dxa"/>
            <w:tcBorders>
              <w:top w:val="nil"/>
              <w:left w:val="nil"/>
              <w:bottom w:val="nil"/>
              <w:right w:val="nil"/>
            </w:tcBorders>
            <w:shd w:val="clear" w:color="auto" w:fill="auto"/>
            <w:noWrap/>
            <w:vAlign w:val="center"/>
            <w:hideMark/>
          </w:tcPr>
          <w:p w14:paraId="34582D12" w14:textId="77777777" w:rsidR="00542B20" w:rsidRPr="00542B20" w:rsidRDefault="00542B20" w:rsidP="00542B20">
            <w:pPr>
              <w:outlineLvl w:val="9"/>
              <w:rPr>
                <w:rFonts w:ascii="Calibri" w:hAnsi="Calibri" w:cs="Calibri"/>
                <w:color w:val="000000"/>
                <w:sz w:val="28"/>
                <w:szCs w:val="28"/>
              </w:rPr>
            </w:pPr>
            <w:bookmarkStart w:id="6" w:name="RANGE!E11"/>
            <w:r w:rsidRPr="00542B20">
              <w:rPr>
                <w:rFonts w:ascii="Calibri" w:hAnsi="Calibri" w:cs="Calibri"/>
                <w:color w:val="000000"/>
                <w:sz w:val="28"/>
                <w:szCs w:val="28"/>
              </w:rPr>
              <w:t>Federal Tax Credits for Emergency Paid Sick Leave and Emergency Family Leave….......</w:t>
            </w:r>
            <w:bookmarkEnd w:id="6"/>
          </w:p>
        </w:tc>
        <w:tc>
          <w:tcPr>
            <w:tcW w:w="400" w:type="dxa"/>
            <w:tcBorders>
              <w:top w:val="nil"/>
              <w:left w:val="nil"/>
              <w:bottom w:val="nil"/>
              <w:right w:val="nil"/>
            </w:tcBorders>
            <w:shd w:val="clear" w:color="auto" w:fill="auto"/>
            <w:noWrap/>
            <w:vAlign w:val="center"/>
            <w:hideMark/>
          </w:tcPr>
          <w:p w14:paraId="35C5D75E" w14:textId="77777777" w:rsidR="00542B20" w:rsidRPr="00542B20" w:rsidRDefault="00542B20" w:rsidP="00542B20">
            <w:pPr>
              <w:jc w:val="center"/>
              <w:outlineLvl w:val="9"/>
              <w:rPr>
                <w:rFonts w:ascii="Calibri" w:hAnsi="Calibri" w:cs="Calibri"/>
                <w:color w:val="000000"/>
                <w:sz w:val="28"/>
                <w:szCs w:val="28"/>
              </w:rPr>
            </w:pPr>
            <w:r w:rsidRPr="00542B20">
              <w:rPr>
                <w:rFonts w:ascii="Calibri" w:hAnsi="Calibri" w:cs="Calibri"/>
                <w:color w:val="000000"/>
                <w:sz w:val="28"/>
                <w:szCs w:val="28"/>
              </w:rPr>
              <w:t>13</w:t>
            </w:r>
          </w:p>
        </w:tc>
      </w:tr>
      <w:tr w:rsidR="00542B20" w:rsidRPr="00542B20" w14:paraId="23B2249A" w14:textId="77777777" w:rsidTr="00542B20">
        <w:trPr>
          <w:trHeight w:val="405"/>
        </w:trPr>
        <w:tc>
          <w:tcPr>
            <w:tcW w:w="36" w:type="dxa"/>
            <w:tcBorders>
              <w:top w:val="nil"/>
              <w:left w:val="nil"/>
              <w:bottom w:val="nil"/>
              <w:right w:val="nil"/>
            </w:tcBorders>
            <w:shd w:val="clear" w:color="auto" w:fill="auto"/>
            <w:noWrap/>
            <w:vAlign w:val="bottom"/>
            <w:hideMark/>
          </w:tcPr>
          <w:p w14:paraId="237DE97B" w14:textId="77777777" w:rsidR="00542B20" w:rsidRPr="00542B20" w:rsidRDefault="00542B20" w:rsidP="00542B20">
            <w:pPr>
              <w:jc w:val="center"/>
              <w:outlineLvl w:val="9"/>
              <w:rPr>
                <w:rFonts w:ascii="Calibri" w:hAnsi="Calibri" w:cs="Calibri"/>
                <w:color w:val="000000"/>
                <w:sz w:val="28"/>
                <w:szCs w:val="28"/>
              </w:rPr>
            </w:pPr>
          </w:p>
        </w:tc>
        <w:tc>
          <w:tcPr>
            <w:tcW w:w="9984" w:type="dxa"/>
            <w:tcBorders>
              <w:top w:val="nil"/>
              <w:left w:val="nil"/>
              <w:bottom w:val="nil"/>
              <w:right w:val="nil"/>
            </w:tcBorders>
            <w:shd w:val="clear" w:color="auto" w:fill="auto"/>
            <w:noWrap/>
            <w:vAlign w:val="center"/>
            <w:hideMark/>
          </w:tcPr>
          <w:p w14:paraId="3072E895" w14:textId="77777777" w:rsidR="00542B20" w:rsidRPr="00542B20" w:rsidRDefault="00542B20" w:rsidP="00542B20">
            <w:pPr>
              <w:outlineLvl w:val="9"/>
              <w:rPr>
                <w:rFonts w:ascii="Calibri" w:hAnsi="Calibri" w:cs="Calibri"/>
                <w:color w:val="000000"/>
                <w:sz w:val="28"/>
                <w:szCs w:val="28"/>
              </w:rPr>
            </w:pPr>
            <w:r w:rsidRPr="00542B20">
              <w:rPr>
                <w:rFonts w:ascii="Calibri" w:hAnsi="Calibri" w:cs="Calibri"/>
                <w:color w:val="000000"/>
                <w:sz w:val="28"/>
                <w:szCs w:val="28"/>
              </w:rPr>
              <w:t>Chart of Federal Tax Credits for Emergency Paid Sick and Family Leave…......................</w:t>
            </w:r>
          </w:p>
        </w:tc>
        <w:tc>
          <w:tcPr>
            <w:tcW w:w="400" w:type="dxa"/>
            <w:tcBorders>
              <w:top w:val="nil"/>
              <w:left w:val="nil"/>
              <w:bottom w:val="nil"/>
              <w:right w:val="nil"/>
            </w:tcBorders>
            <w:shd w:val="clear" w:color="auto" w:fill="auto"/>
            <w:noWrap/>
            <w:vAlign w:val="center"/>
            <w:hideMark/>
          </w:tcPr>
          <w:p w14:paraId="43515EE4" w14:textId="77777777" w:rsidR="00542B20" w:rsidRPr="00542B20" w:rsidRDefault="00542B20" w:rsidP="00542B20">
            <w:pPr>
              <w:jc w:val="center"/>
              <w:outlineLvl w:val="9"/>
              <w:rPr>
                <w:rFonts w:ascii="Calibri" w:hAnsi="Calibri" w:cs="Calibri"/>
                <w:color w:val="000000"/>
                <w:sz w:val="28"/>
                <w:szCs w:val="28"/>
              </w:rPr>
            </w:pPr>
            <w:r w:rsidRPr="00542B20">
              <w:rPr>
                <w:rFonts w:ascii="Calibri" w:hAnsi="Calibri" w:cs="Calibri"/>
                <w:color w:val="000000"/>
                <w:sz w:val="28"/>
                <w:szCs w:val="28"/>
              </w:rPr>
              <w:t>15</w:t>
            </w:r>
          </w:p>
        </w:tc>
      </w:tr>
      <w:tr w:rsidR="00542B20" w:rsidRPr="00542B20" w14:paraId="2E85CAFE" w14:textId="77777777" w:rsidTr="00542B20">
        <w:trPr>
          <w:trHeight w:val="405"/>
        </w:trPr>
        <w:tc>
          <w:tcPr>
            <w:tcW w:w="10420" w:type="dxa"/>
            <w:gridSpan w:val="3"/>
            <w:tcBorders>
              <w:top w:val="nil"/>
              <w:left w:val="nil"/>
              <w:bottom w:val="nil"/>
              <w:right w:val="nil"/>
            </w:tcBorders>
            <w:shd w:val="clear" w:color="auto" w:fill="auto"/>
            <w:noWrap/>
            <w:vAlign w:val="center"/>
            <w:hideMark/>
          </w:tcPr>
          <w:p w14:paraId="0432DE46" w14:textId="77777777" w:rsidR="00542B20" w:rsidRPr="00542B20" w:rsidRDefault="00542B20" w:rsidP="00542B20">
            <w:pPr>
              <w:outlineLvl w:val="9"/>
              <w:rPr>
                <w:rFonts w:ascii="Calibri" w:hAnsi="Calibri" w:cs="Calibri"/>
                <w:b/>
                <w:bCs/>
                <w:color w:val="000000"/>
                <w:sz w:val="28"/>
                <w:szCs w:val="28"/>
              </w:rPr>
            </w:pPr>
            <w:bookmarkStart w:id="7" w:name="RANGE!D13"/>
            <w:r w:rsidRPr="00542B20">
              <w:rPr>
                <w:rFonts w:ascii="Calibri" w:hAnsi="Calibri" w:cs="Calibri"/>
                <w:b/>
                <w:bCs/>
                <w:color w:val="000000"/>
                <w:sz w:val="28"/>
                <w:szCs w:val="28"/>
              </w:rPr>
              <w:t xml:space="preserve">Cashflow Options (beyond HHS grants) open to </w:t>
            </w:r>
            <w:r w:rsidRPr="00542B20">
              <w:rPr>
                <w:rFonts w:ascii="Calibri" w:hAnsi="Calibri" w:cs="Calibri"/>
                <w:b/>
                <w:bCs/>
                <w:color w:val="000000"/>
                <w:sz w:val="28"/>
                <w:szCs w:val="28"/>
                <w:u w:val="single"/>
              </w:rPr>
              <w:t>all</w:t>
            </w:r>
            <w:r w:rsidRPr="00542B20">
              <w:rPr>
                <w:rFonts w:ascii="Calibri" w:hAnsi="Calibri" w:cs="Calibri"/>
                <w:b/>
                <w:bCs/>
                <w:color w:val="000000"/>
                <w:sz w:val="28"/>
                <w:szCs w:val="28"/>
              </w:rPr>
              <w:t xml:space="preserve"> Health Centers, PCAs and HCCNs </w:t>
            </w:r>
            <w:bookmarkEnd w:id="7"/>
          </w:p>
        </w:tc>
      </w:tr>
      <w:tr w:rsidR="00542B20" w:rsidRPr="00542B20" w14:paraId="682A566E" w14:textId="77777777" w:rsidTr="00542B20">
        <w:trPr>
          <w:trHeight w:val="405"/>
        </w:trPr>
        <w:tc>
          <w:tcPr>
            <w:tcW w:w="36" w:type="dxa"/>
            <w:tcBorders>
              <w:top w:val="nil"/>
              <w:left w:val="nil"/>
              <w:bottom w:val="nil"/>
              <w:right w:val="nil"/>
            </w:tcBorders>
            <w:shd w:val="clear" w:color="auto" w:fill="auto"/>
            <w:noWrap/>
            <w:vAlign w:val="bottom"/>
            <w:hideMark/>
          </w:tcPr>
          <w:p w14:paraId="5DC94884" w14:textId="77777777" w:rsidR="00542B20" w:rsidRPr="00542B20" w:rsidRDefault="00542B20" w:rsidP="00542B20">
            <w:pPr>
              <w:outlineLvl w:val="9"/>
              <w:rPr>
                <w:rFonts w:ascii="Calibri" w:hAnsi="Calibri" w:cs="Calibri"/>
                <w:b/>
                <w:bCs/>
                <w:color w:val="000000"/>
                <w:sz w:val="28"/>
                <w:szCs w:val="28"/>
              </w:rPr>
            </w:pPr>
          </w:p>
        </w:tc>
        <w:tc>
          <w:tcPr>
            <w:tcW w:w="9984" w:type="dxa"/>
            <w:tcBorders>
              <w:top w:val="nil"/>
              <w:left w:val="nil"/>
              <w:bottom w:val="nil"/>
              <w:right w:val="nil"/>
            </w:tcBorders>
            <w:shd w:val="clear" w:color="auto" w:fill="auto"/>
            <w:noWrap/>
            <w:vAlign w:val="center"/>
            <w:hideMark/>
          </w:tcPr>
          <w:p w14:paraId="0DEFCC6B" w14:textId="77777777" w:rsidR="00542B20" w:rsidRPr="00542B20" w:rsidRDefault="00542B20" w:rsidP="00542B20">
            <w:pPr>
              <w:outlineLvl w:val="9"/>
              <w:rPr>
                <w:rFonts w:ascii="Calibri" w:hAnsi="Calibri" w:cs="Calibri"/>
                <w:color w:val="000000"/>
                <w:sz w:val="28"/>
                <w:szCs w:val="28"/>
              </w:rPr>
            </w:pPr>
            <w:bookmarkStart w:id="8" w:name="RANGE!E14"/>
            <w:r w:rsidRPr="00542B20">
              <w:rPr>
                <w:rFonts w:ascii="Calibri" w:hAnsi="Calibri" w:cs="Calibri"/>
                <w:color w:val="000000"/>
                <w:sz w:val="28"/>
                <w:szCs w:val="28"/>
              </w:rPr>
              <w:t>Summary Chart................................................................................................................</w:t>
            </w:r>
            <w:bookmarkEnd w:id="8"/>
          </w:p>
        </w:tc>
        <w:tc>
          <w:tcPr>
            <w:tcW w:w="400" w:type="dxa"/>
            <w:tcBorders>
              <w:top w:val="nil"/>
              <w:left w:val="nil"/>
              <w:bottom w:val="nil"/>
              <w:right w:val="nil"/>
            </w:tcBorders>
            <w:shd w:val="clear" w:color="auto" w:fill="auto"/>
            <w:noWrap/>
            <w:vAlign w:val="center"/>
            <w:hideMark/>
          </w:tcPr>
          <w:p w14:paraId="4381DDE4" w14:textId="77777777" w:rsidR="00542B20" w:rsidRPr="00542B20" w:rsidRDefault="00542B20" w:rsidP="00542B20">
            <w:pPr>
              <w:jc w:val="center"/>
              <w:outlineLvl w:val="9"/>
              <w:rPr>
                <w:rFonts w:ascii="Calibri" w:hAnsi="Calibri" w:cs="Calibri"/>
                <w:color w:val="000000"/>
                <w:sz w:val="28"/>
                <w:szCs w:val="28"/>
              </w:rPr>
            </w:pPr>
            <w:r w:rsidRPr="00542B20">
              <w:rPr>
                <w:rFonts w:ascii="Calibri" w:hAnsi="Calibri" w:cs="Calibri"/>
                <w:color w:val="000000"/>
                <w:sz w:val="28"/>
                <w:szCs w:val="28"/>
              </w:rPr>
              <w:t>16</w:t>
            </w:r>
          </w:p>
        </w:tc>
      </w:tr>
      <w:tr w:rsidR="00542B20" w:rsidRPr="00542B20" w14:paraId="4A7FF27A" w14:textId="77777777" w:rsidTr="00542B20">
        <w:trPr>
          <w:trHeight w:val="405"/>
        </w:trPr>
        <w:tc>
          <w:tcPr>
            <w:tcW w:w="36" w:type="dxa"/>
            <w:tcBorders>
              <w:top w:val="nil"/>
              <w:left w:val="nil"/>
              <w:bottom w:val="nil"/>
              <w:right w:val="nil"/>
            </w:tcBorders>
            <w:shd w:val="clear" w:color="auto" w:fill="auto"/>
            <w:noWrap/>
            <w:vAlign w:val="bottom"/>
            <w:hideMark/>
          </w:tcPr>
          <w:p w14:paraId="3B42BBAA" w14:textId="77777777" w:rsidR="00542B20" w:rsidRPr="00542B20" w:rsidRDefault="00542B20" w:rsidP="00542B20">
            <w:pPr>
              <w:jc w:val="center"/>
              <w:outlineLvl w:val="9"/>
              <w:rPr>
                <w:rFonts w:ascii="Calibri" w:hAnsi="Calibri" w:cs="Calibri"/>
                <w:color w:val="000000"/>
                <w:sz w:val="28"/>
                <w:szCs w:val="28"/>
              </w:rPr>
            </w:pPr>
          </w:p>
        </w:tc>
        <w:tc>
          <w:tcPr>
            <w:tcW w:w="9984" w:type="dxa"/>
            <w:tcBorders>
              <w:top w:val="nil"/>
              <w:left w:val="nil"/>
              <w:bottom w:val="nil"/>
              <w:right w:val="nil"/>
            </w:tcBorders>
            <w:shd w:val="clear" w:color="auto" w:fill="auto"/>
            <w:noWrap/>
            <w:vAlign w:val="center"/>
            <w:hideMark/>
          </w:tcPr>
          <w:p w14:paraId="0A262C59" w14:textId="77777777" w:rsidR="00542B20" w:rsidRPr="00542B20" w:rsidRDefault="00542B20" w:rsidP="00542B20">
            <w:pPr>
              <w:outlineLvl w:val="9"/>
              <w:rPr>
                <w:rFonts w:ascii="Calibri" w:hAnsi="Calibri" w:cs="Calibri"/>
                <w:color w:val="000000"/>
                <w:sz w:val="28"/>
                <w:szCs w:val="28"/>
              </w:rPr>
            </w:pPr>
            <w:bookmarkStart w:id="9" w:name="RANGE!E15"/>
            <w:r w:rsidRPr="00542B20">
              <w:rPr>
                <w:rFonts w:ascii="Calibri" w:hAnsi="Calibri" w:cs="Calibri"/>
                <w:color w:val="000000"/>
                <w:sz w:val="28"/>
                <w:szCs w:val="28"/>
              </w:rPr>
              <w:t>Main Street Loans………….................................................................................................</w:t>
            </w:r>
            <w:bookmarkEnd w:id="9"/>
          </w:p>
        </w:tc>
        <w:tc>
          <w:tcPr>
            <w:tcW w:w="400" w:type="dxa"/>
            <w:tcBorders>
              <w:top w:val="nil"/>
              <w:left w:val="nil"/>
              <w:bottom w:val="nil"/>
              <w:right w:val="nil"/>
            </w:tcBorders>
            <w:shd w:val="clear" w:color="auto" w:fill="auto"/>
            <w:noWrap/>
            <w:vAlign w:val="center"/>
            <w:hideMark/>
          </w:tcPr>
          <w:p w14:paraId="757FFFA9" w14:textId="77777777" w:rsidR="00542B20" w:rsidRPr="00542B20" w:rsidRDefault="00542B20" w:rsidP="00542B20">
            <w:pPr>
              <w:jc w:val="center"/>
              <w:outlineLvl w:val="9"/>
              <w:rPr>
                <w:rFonts w:ascii="Calibri" w:hAnsi="Calibri" w:cs="Calibri"/>
                <w:color w:val="000000"/>
                <w:sz w:val="28"/>
                <w:szCs w:val="28"/>
              </w:rPr>
            </w:pPr>
            <w:r w:rsidRPr="00542B20">
              <w:rPr>
                <w:rFonts w:ascii="Calibri" w:hAnsi="Calibri" w:cs="Calibri"/>
                <w:color w:val="000000"/>
                <w:sz w:val="28"/>
                <w:szCs w:val="28"/>
              </w:rPr>
              <w:t>18</w:t>
            </w:r>
          </w:p>
        </w:tc>
      </w:tr>
      <w:tr w:rsidR="00542B20" w:rsidRPr="00542B20" w14:paraId="7A15EB4F" w14:textId="77777777" w:rsidTr="00542B20">
        <w:trPr>
          <w:trHeight w:val="405"/>
        </w:trPr>
        <w:tc>
          <w:tcPr>
            <w:tcW w:w="36" w:type="dxa"/>
            <w:tcBorders>
              <w:top w:val="nil"/>
              <w:left w:val="nil"/>
              <w:bottom w:val="nil"/>
              <w:right w:val="nil"/>
            </w:tcBorders>
            <w:shd w:val="clear" w:color="auto" w:fill="auto"/>
            <w:noWrap/>
            <w:vAlign w:val="bottom"/>
            <w:hideMark/>
          </w:tcPr>
          <w:p w14:paraId="2986045E" w14:textId="77777777" w:rsidR="00542B20" w:rsidRPr="00542B20" w:rsidRDefault="00542B20" w:rsidP="00542B20">
            <w:pPr>
              <w:jc w:val="center"/>
              <w:outlineLvl w:val="9"/>
              <w:rPr>
                <w:rFonts w:ascii="Calibri" w:hAnsi="Calibri" w:cs="Calibri"/>
                <w:color w:val="000000"/>
                <w:sz w:val="28"/>
                <w:szCs w:val="28"/>
              </w:rPr>
            </w:pPr>
          </w:p>
        </w:tc>
        <w:tc>
          <w:tcPr>
            <w:tcW w:w="9984" w:type="dxa"/>
            <w:tcBorders>
              <w:top w:val="nil"/>
              <w:left w:val="nil"/>
              <w:bottom w:val="nil"/>
              <w:right w:val="nil"/>
            </w:tcBorders>
            <w:shd w:val="clear" w:color="auto" w:fill="auto"/>
            <w:noWrap/>
            <w:vAlign w:val="center"/>
            <w:hideMark/>
          </w:tcPr>
          <w:p w14:paraId="15626005" w14:textId="77777777" w:rsidR="00542B20" w:rsidRPr="00542B20" w:rsidRDefault="00542B20" w:rsidP="00542B20">
            <w:pPr>
              <w:outlineLvl w:val="9"/>
              <w:rPr>
                <w:rFonts w:ascii="Calibri" w:hAnsi="Calibri" w:cs="Calibri"/>
                <w:color w:val="000000"/>
                <w:sz w:val="28"/>
                <w:szCs w:val="28"/>
              </w:rPr>
            </w:pPr>
            <w:bookmarkStart w:id="10" w:name="RANGE!E16"/>
            <w:r w:rsidRPr="00542B20">
              <w:rPr>
                <w:rFonts w:ascii="Calibri" w:hAnsi="Calibri" w:cs="Calibri"/>
                <w:color w:val="000000"/>
                <w:sz w:val="28"/>
                <w:szCs w:val="28"/>
              </w:rPr>
              <w:t>Economic Injury Disaster Loans (EIDLs)…….....................................................................</w:t>
            </w:r>
            <w:bookmarkEnd w:id="10"/>
          </w:p>
        </w:tc>
        <w:tc>
          <w:tcPr>
            <w:tcW w:w="400" w:type="dxa"/>
            <w:tcBorders>
              <w:top w:val="nil"/>
              <w:left w:val="nil"/>
              <w:bottom w:val="nil"/>
              <w:right w:val="nil"/>
            </w:tcBorders>
            <w:shd w:val="clear" w:color="auto" w:fill="auto"/>
            <w:noWrap/>
            <w:vAlign w:val="center"/>
            <w:hideMark/>
          </w:tcPr>
          <w:p w14:paraId="7A0A596F" w14:textId="77777777" w:rsidR="00542B20" w:rsidRPr="00542B20" w:rsidRDefault="00542B20" w:rsidP="00542B20">
            <w:pPr>
              <w:jc w:val="center"/>
              <w:outlineLvl w:val="9"/>
              <w:rPr>
                <w:rFonts w:ascii="Calibri" w:hAnsi="Calibri" w:cs="Calibri"/>
                <w:color w:val="000000"/>
                <w:sz w:val="28"/>
                <w:szCs w:val="28"/>
              </w:rPr>
            </w:pPr>
            <w:r w:rsidRPr="00542B20">
              <w:rPr>
                <w:rFonts w:ascii="Calibri" w:hAnsi="Calibri" w:cs="Calibri"/>
                <w:color w:val="000000"/>
                <w:sz w:val="28"/>
                <w:szCs w:val="28"/>
              </w:rPr>
              <w:t>20</w:t>
            </w:r>
          </w:p>
        </w:tc>
      </w:tr>
      <w:tr w:rsidR="00542B20" w:rsidRPr="00542B20" w14:paraId="3517FDA9" w14:textId="77777777" w:rsidTr="00542B20">
        <w:trPr>
          <w:trHeight w:val="405"/>
        </w:trPr>
        <w:tc>
          <w:tcPr>
            <w:tcW w:w="36" w:type="dxa"/>
            <w:tcBorders>
              <w:top w:val="nil"/>
              <w:left w:val="nil"/>
              <w:bottom w:val="nil"/>
              <w:right w:val="nil"/>
            </w:tcBorders>
            <w:shd w:val="clear" w:color="auto" w:fill="auto"/>
            <w:noWrap/>
            <w:vAlign w:val="bottom"/>
            <w:hideMark/>
          </w:tcPr>
          <w:p w14:paraId="35F13CCC" w14:textId="77777777" w:rsidR="00542B20" w:rsidRPr="00542B20" w:rsidRDefault="00542B20" w:rsidP="00542B20">
            <w:pPr>
              <w:jc w:val="center"/>
              <w:outlineLvl w:val="9"/>
              <w:rPr>
                <w:rFonts w:ascii="Calibri" w:hAnsi="Calibri" w:cs="Calibri"/>
                <w:color w:val="000000"/>
                <w:sz w:val="28"/>
                <w:szCs w:val="28"/>
              </w:rPr>
            </w:pPr>
          </w:p>
        </w:tc>
        <w:tc>
          <w:tcPr>
            <w:tcW w:w="9984" w:type="dxa"/>
            <w:tcBorders>
              <w:top w:val="nil"/>
              <w:left w:val="nil"/>
              <w:bottom w:val="nil"/>
              <w:right w:val="nil"/>
            </w:tcBorders>
            <w:shd w:val="clear" w:color="auto" w:fill="auto"/>
            <w:noWrap/>
            <w:vAlign w:val="center"/>
            <w:hideMark/>
          </w:tcPr>
          <w:p w14:paraId="02B624C5" w14:textId="77777777" w:rsidR="00542B20" w:rsidRPr="00542B20" w:rsidRDefault="00542B20" w:rsidP="00542B20">
            <w:pPr>
              <w:outlineLvl w:val="9"/>
              <w:rPr>
                <w:rFonts w:ascii="Calibri" w:hAnsi="Calibri" w:cs="Calibri"/>
                <w:color w:val="000000"/>
                <w:sz w:val="28"/>
                <w:szCs w:val="28"/>
              </w:rPr>
            </w:pPr>
            <w:bookmarkStart w:id="11" w:name="RANGE!E17"/>
            <w:r w:rsidRPr="00542B20">
              <w:rPr>
                <w:rFonts w:ascii="Calibri" w:hAnsi="Calibri" w:cs="Calibri"/>
                <w:color w:val="000000"/>
                <w:sz w:val="28"/>
                <w:szCs w:val="28"/>
              </w:rPr>
              <w:t>Federal Tax Credits for Employee Retention………….........................................................</w:t>
            </w:r>
            <w:bookmarkEnd w:id="11"/>
          </w:p>
        </w:tc>
        <w:tc>
          <w:tcPr>
            <w:tcW w:w="400" w:type="dxa"/>
            <w:tcBorders>
              <w:top w:val="nil"/>
              <w:left w:val="nil"/>
              <w:bottom w:val="nil"/>
              <w:right w:val="nil"/>
            </w:tcBorders>
            <w:shd w:val="clear" w:color="auto" w:fill="auto"/>
            <w:noWrap/>
            <w:vAlign w:val="center"/>
            <w:hideMark/>
          </w:tcPr>
          <w:p w14:paraId="20AD580F" w14:textId="77777777" w:rsidR="00542B20" w:rsidRPr="00542B20" w:rsidRDefault="00542B20" w:rsidP="00542B20">
            <w:pPr>
              <w:jc w:val="center"/>
              <w:outlineLvl w:val="9"/>
              <w:rPr>
                <w:rFonts w:ascii="Calibri" w:hAnsi="Calibri" w:cs="Calibri"/>
                <w:color w:val="000000"/>
                <w:sz w:val="28"/>
                <w:szCs w:val="28"/>
              </w:rPr>
            </w:pPr>
            <w:r w:rsidRPr="00542B20">
              <w:rPr>
                <w:rFonts w:ascii="Calibri" w:hAnsi="Calibri" w:cs="Calibri"/>
                <w:color w:val="000000"/>
                <w:sz w:val="28"/>
                <w:szCs w:val="28"/>
              </w:rPr>
              <w:t>21</w:t>
            </w:r>
          </w:p>
        </w:tc>
      </w:tr>
      <w:tr w:rsidR="00542B20" w:rsidRPr="00542B20" w14:paraId="121CB56E" w14:textId="77777777" w:rsidTr="00542B20">
        <w:trPr>
          <w:trHeight w:val="405"/>
        </w:trPr>
        <w:tc>
          <w:tcPr>
            <w:tcW w:w="36" w:type="dxa"/>
            <w:tcBorders>
              <w:top w:val="nil"/>
              <w:left w:val="nil"/>
              <w:bottom w:val="nil"/>
              <w:right w:val="nil"/>
            </w:tcBorders>
            <w:shd w:val="clear" w:color="auto" w:fill="auto"/>
            <w:noWrap/>
            <w:vAlign w:val="bottom"/>
            <w:hideMark/>
          </w:tcPr>
          <w:p w14:paraId="746B0E70" w14:textId="77777777" w:rsidR="00542B20" w:rsidRPr="00542B20" w:rsidRDefault="00542B20" w:rsidP="00542B20">
            <w:pPr>
              <w:jc w:val="center"/>
              <w:outlineLvl w:val="9"/>
              <w:rPr>
                <w:rFonts w:ascii="Calibri" w:hAnsi="Calibri" w:cs="Calibri"/>
                <w:color w:val="000000"/>
                <w:sz w:val="28"/>
                <w:szCs w:val="28"/>
              </w:rPr>
            </w:pPr>
          </w:p>
        </w:tc>
        <w:tc>
          <w:tcPr>
            <w:tcW w:w="9984" w:type="dxa"/>
            <w:tcBorders>
              <w:top w:val="nil"/>
              <w:left w:val="nil"/>
              <w:bottom w:val="nil"/>
              <w:right w:val="nil"/>
            </w:tcBorders>
            <w:shd w:val="clear" w:color="auto" w:fill="auto"/>
            <w:noWrap/>
            <w:vAlign w:val="center"/>
            <w:hideMark/>
          </w:tcPr>
          <w:p w14:paraId="4A15DAEB" w14:textId="77777777" w:rsidR="00542B20" w:rsidRPr="00542B20" w:rsidRDefault="00542B20" w:rsidP="00542B20">
            <w:pPr>
              <w:outlineLvl w:val="9"/>
              <w:rPr>
                <w:rFonts w:ascii="Calibri" w:hAnsi="Calibri" w:cs="Calibri"/>
                <w:color w:val="000000"/>
                <w:sz w:val="28"/>
                <w:szCs w:val="28"/>
              </w:rPr>
            </w:pPr>
            <w:bookmarkStart w:id="12" w:name="RANGE!E18"/>
            <w:r w:rsidRPr="00542B20">
              <w:rPr>
                <w:rFonts w:ascii="Calibri" w:hAnsi="Calibri" w:cs="Calibri"/>
                <w:color w:val="000000"/>
                <w:sz w:val="28"/>
                <w:szCs w:val="28"/>
              </w:rPr>
              <w:t>Deferral of Employer Share of Social Security Taxes…....................................................</w:t>
            </w:r>
            <w:bookmarkEnd w:id="12"/>
          </w:p>
        </w:tc>
        <w:tc>
          <w:tcPr>
            <w:tcW w:w="400" w:type="dxa"/>
            <w:tcBorders>
              <w:top w:val="nil"/>
              <w:left w:val="nil"/>
              <w:bottom w:val="nil"/>
              <w:right w:val="nil"/>
            </w:tcBorders>
            <w:shd w:val="clear" w:color="auto" w:fill="auto"/>
            <w:noWrap/>
            <w:vAlign w:val="center"/>
            <w:hideMark/>
          </w:tcPr>
          <w:p w14:paraId="437C4981" w14:textId="77777777" w:rsidR="00542B20" w:rsidRPr="00542B20" w:rsidRDefault="00542B20" w:rsidP="00542B20">
            <w:pPr>
              <w:jc w:val="center"/>
              <w:outlineLvl w:val="9"/>
              <w:rPr>
                <w:rFonts w:ascii="Calibri" w:hAnsi="Calibri" w:cs="Calibri"/>
                <w:color w:val="000000"/>
                <w:sz w:val="28"/>
                <w:szCs w:val="28"/>
              </w:rPr>
            </w:pPr>
            <w:r w:rsidRPr="00542B20">
              <w:rPr>
                <w:rFonts w:ascii="Calibri" w:hAnsi="Calibri" w:cs="Calibri"/>
                <w:color w:val="000000"/>
                <w:sz w:val="28"/>
                <w:szCs w:val="28"/>
              </w:rPr>
              <w:t>23</w:t>
            </w:r>
          </w:p>
        </w:tc>
      </w:tr>
      <w:tr w:rsidR="00542B20" w:rsidRPr="00542B20" w14:paraId="3F03CA23" w14:textId="77777777" w:rsidTr="00542B20">
        <w:trPr>
          <w:trHeight w:val="405"/>
        </w:trPr>
        <w:tc>
          <w:tcPr>
            <w:tcW w:w="36" w:type="dxa"/>
            <w:tcBorders>
              <w:top w:val="nil"/>
              <w:left w:val="nil"/>
              <w:bottom w:val="nil"/>
              <w:right w:val="nil"/>
            </w:tcBorders>
            <w:shd w:val="clear" w:color="auto" w:fill="auto"/>
            <w:noWrap/>
            <w:vAlign w:val="bottom"/>
            <w:hideMark/>
          </w:tcPr>
          <w:p w14:paraId="7268EF16" w14:textId="77777777" w:rsidR="00542B20" w:rsidRPr="00542B20" w:rsidRDefault="00542B20" w:rsidP="00542B20">
            <w:pPr>
              <w:jc w:val="center"/>
              <w:outlineLvl w:val="9"/>
              <w:rPr>
                <w:rFonts w:ascii="Calibri" w:hAnsi="Calibri" w:cs="Calibri"/>
                <w:color w:val="000000"/>
                <w:sz w:val="28"/>
                <w:szCs w:val="28"/>
              </w:rPr>
            </w:pPr>
          </w:p>
        </w:tc>
        <w:tc>
          <w:tcPr>
            <w:tcW w:w="9984" w:type="dxa"/>
            <w:tcBorders>
              <w:top w:val="nil"/>
              <w:left w:val="nil"/>
              <w:bottom w:val="nil"/>
              <w:right w:val="nil"/>
            </w:tcBorders>
            <w:shd w:val="clear" w:color="auto" w:fill="auto"/>
            <w:noWrap/>
            <w:vAlign w:val="center"/>
            <w:hideMark/>
          </w:tcPr>
          <w:p w14:paraId="3EA90CB0" w14:textId="77777777" w:rsidR="00542B20" w:rsidRPr="00542B20" w:rsidRDefault="00542B20" w:rsidP="00542B20">
            <w:pPr>
              <w:outlineLvl w:val="9"/>
              <w:rPr>
                <w:rFonts w:ascii="Calibri" w:hAnsi="Calibri" w:cs="Calibri"/>
                <w:color w:val="000000"/>
                <w:sz w:val="28"/>
                <w:szCs w:val="28"/>
              </w:rPr>
            </w:pPr>
            <w:bookmarkStart w:id="13" w:name="RANGE!E19"/>
            <w:r w:rsidRPr="00542B20">
              <w:rPr>
                <w:rFonts w:ascii="Calibri" w:hAnsi="Calibri" w:cs="Calibri"/>
                <w:color w:val="000000"/>
                <w:sz w:val="28"/>
                <w:szCs w:val="28"/>
              </w:rPr>
              <w:t xml:space="preserve">Advanced Medicare Payments…..................................................................................... </w:t>
            </w:r>
            <w:bookmarkEnd w:id="13"/>
          </w:p>
        </w:tc>
        <w:tc>
          <w:tcPr>
            <w:tcW w:w="400" w:type="dxa"/>
            <w:tcBorders>
              <w:top w:val="nil"/>
              <w:left w:val="nil"/>
              <w:bottom w:val="nil"/>
              <w:right w:val="nil"/>
            </w:tcBorders>
            <w:shd w:val="clear" w:color="auto" w:fill="auto"/>
            <w:noWrap/>
            <w:vAlign w:val="center"/>
            <w:hideMark/>
          </w:tcPr>
          <w:p w14:paraId="765892C7" w14:textId="77777777" w:rsidR="00542B20" w:rsidRPr="00542B20" w:rsidRDefault="00542B20" w:rsidP="00542B20">
            <w:pPr>
              <w:jc w:val="center"/>
              <w:outlineLvl w:val="9"/>
              <w:rPr>
                <w:rFonts w:ascii="Calibri" w:hAnsi="Calibri" w:cs="Calibri"/>
                <w:color w:val="000000"/>
                <w:sz w:val="28"/>
                <w:szCs w:val="28"/>
              </w:rPr>
            </w:pPr>
            <w:r w:rsidRPr="00542B20">
              <w:rPr>
                <w:rFonts w:ascii="Calibri" w:hAnsi="Calibri" w:cs="Calibri"/>
                <w:color w:val="000000"/>
                <w:sz w:val="28"/>
                <w:szCs w:val="28"/>
              </w:rPr>
              <w:t>24</w:t>
            </w:r>
          </w:p>
        </w:tc>
      </w:tr>
      <w:tr w:rsidR="00542B20" w:rsidRPr="00542B20" w14:paraId="063CEE63" w14:textId="77777777" w:rsidTr="00542B20">
        <w:trPr>
          <w:trHeight w:val="405"/>
        </w:trPr>
        <w:tc>
          <w:tcPr>
            <w:tcW w:w="36" w:type="dxa"/>
            <w:tcBorders>
              <w:top w:val="nil"/>
              <w:left w:val="nil"/>
              <w:bottom w:val="nil"/>
              <w:right w:val="nil"/>
            </w:tcBorders>
            <w:shd w:val="clear" w:color="auto" w:fill="auto"/>
            <w:noWrap/>
            <w:vAlign w:val="bottom"/>
            <w:hideMark/>
          </w:tcPr>
          <w:p w14:paraId="0F6E85A6" w14:textId="77777777" w:rsidR="00542B20" w:rsidRPr="00542B20" w:rsidRDefault="00542B20" w:rsidP="00542B20">
            <w:pPr>
              <w:jc w:val="center"/>
              <w:outlineLvl w:val="9"/>
              <w:rPr>
                <w:rFonts w:ascii="Calibri" w:hAnsi="Calibri" w:cs="Calibri"/>
                <w:color w:val="000000"/>
                <w:sz w:val="28"/>
                <w:szCs w:val="28"/>
              </w:rPr>
            </w:pPr>
          </w:p>
        </w:tc>
        <w:tc>
          <w:tcPr>
            <w:tcW w:w="9984" w:type="dxa"/>
            <w:tcBorders>
              <w:top w:val="nil"/>
              <w:left w:val="nil"/>
              <w:bottom w:val="nil"/>
              <w:right w:val="nil"/>
            </w:tcBorders>
            <w:shd w:val="clear" w:color="auto" w:fill="auto"/>
            <w:noWrap/>
            <w:vAlign w:val="center"/>
            <w:hideMark/>
          </w:tcPr>
          <w:p w14:paraId="1E09D81F" w14:textId="77777777" w:rsidR="00542B20" w:rsidRPr="00542B20" w:rsidRDefault="00542B20" w:rsidP="00542B20">
            <w:pPr>
              <w:outlineLvl w:val="9"/>
              <w:rPr>
                <w:rFonts w:ascii="Calibri" w:hAnsi="Calibri" w:cs="Calibri"/>
                <w:color w:val="000000"/>
                <w:sz w:val="28"/>
                <w:szCs w:val="28"/>
              </w:rPr>
            </w:pPr>
            <w:bookmarkStart w:id="14" w:name="RANGE!E20"/>
            <w:r w:rsidRPr="00542B20">
              <w:rPr>
                <w:rFonts w:ascii="Calibri" w:hAnsi="Calibri" w:cs="Calibri"/>
                <w:color w:val="000000"/>
                <w:sz w:val="28"/>
                <w:szCs w:val="28"/>
              </w:rPr>
              <w:t>Expanded Unemployment Insurance for Fully or Partially Laid-Off Employees……</w:t>
            </w:r>
            <w:bookmarkEnd w:id="14"/>
            <w:r>
              <w:rPr>
                <w:rFonts w:ascii="Calibri" w:hAnsi="Calibri" w:cs="Calibri"/>
                <w:color w:val="000000"/>
                <w:sz w:val="28"/>
                <w:szCs w:val="28"/>
              </w:rPr>
              <w:t>………</w:t>
            </w:r>
          </w:p>
        </w:tc>
        <w:tc>
          <w:tcPr>
            <w:tcW w:w="400" w:type="dxa"/>
            <w:tcBorders>
              <w:top w:val="nil"/>
              <w:left w:val="nil"/>
              <w:bottom w:val="nil"/>
              <w:right w:val="nil"/>
            </w:tcBorders>
            <w:shd w:val="clear" w:color="auto" w:fill="auto"/>
            <w:noWrap/>
            <w:vAlign w:val="center"/>
            <w:hideMark/>
          </w:tcPr>
          <w:p w14:paraId="7AB4D42E" w14:textId="77777777" w:rsidR="00542B20" w:rsidRPr="00542B20" w:rsidRDefault="00542B20" w:rsidP="00542B20">
            <w:pPr>
              <w:jc w:val="center"/>
              <w:outlineLvl w:val="9"/>
              <w:rPr>
                <w:rFonts w:ascii="Calibri" w:hAnsi="Calibri" w:cs="Calibri"/>
                <w:color w:val="000000"/>
                <w:sz w:val="28"/>
                <w:szCs w:val="28"/>
              </w:rPr>
            </w:pPr>
            <w:r w:rsidRPr="00542B20">
              <w:rPr>
                <w:rFonts w:ascii="Calibri" w:hAnsi="Calibri" w:cs="Calibri"/>
                <w:color w:val="000000"/>
                <w:sz w:val="28"/>
                <w:szCs w:val="28"/>
              </w:rPr>
              <w:t>25</w:t>
            </w:r>
          </w:p>
        </w:tc>
      </w:tr>
      <w:tr w:rsidR="00542B20" w:rsidRPr="00542B20" w14:paraId="1FE205C0" w14:textId="77777777" w:rsidTr="00542B20">
        <w:trPr>
          <w:trHeight w:val="375"/>
        </w:trPr>
        <w:tc>
          <w:tcPr>
            <w:tcW w:w="36" w:type="dxa"/>
            <w:tcBorders>
              <w:top w:val="nil"/>
              <w:left w:val="nil"/>
              <w:bottom w:val="nil"/>
              <w:right w:val="nil"/>
            </w:tcBorders>
            <w:shd w:val="clear" w:color="auto" w:fill="auto"/>
            <w:noWrap/>
            <w:vAlign w:val="bottom"/>
            <w:hideMark/>
          </w:tcPr>
          <w:p w14:paraId="6A92013D" w14:textId="77777777" w:rsidR="00542B20" w:rsidRPr="00542B20" w:rsidRDefault="00542B20" w:rsidP="00542B20">
            <w:pPr>
              <w:jc w:val="center"/>
              <w:outlineLvl w:val="9"/>
              <w:rPr>
                <w:rFonts w:ascii="Calibri" w:hAnsi="Calibri" w:cs="Calibri"/>
                <w:color w:val="000000"/>
                <w:sz w:val="28"/>
                <w:szCs w:val="28"/>
              </w:rPr>
            </w:pPr>
          </w:p>
        </w:tc>
        <w:tc>
          <w:tcPr>
            <w:tcW w:w="9984" w:type="dxa"/>
            <w:tcBorders>
              <w:top w:val="nil"/>
              <w:left w:val="nil"/>
              <w:bottom w:val="nil"/>
              <w:right w:val="nil"/>
            </w:tcBorders>
            <w:shd w:val="clear" w:color="auto" w:fill="auto"/>
            <w:noWrap/>
            <w:vAlign w:val="center"/>
            <w:hideMark/>
          </w:tcPr>
          <w:p w14:paraId="7E46609E" w14:textId="77777777" w:rsidR="00542B20" w:rsidRPr="00542B20" w:rsidRDefault="00542B20" w:rsidP="00542B20">
            <w:pPr>
              <w:outlineLvl w:val="9"/>
              <w:rPr>
                <w:rFonts w:ascii="Calibri" w:hAnsi="Calibri" w:cs="Calibri"/>
                <w:color w:val="000000"/>
                <w:sz w:val="28"/>
                <w:szCs w:val="28"/>
              </w:rPr>
            </w:pPr>
            <w:r w:rsidRPr="00542B20">
              <w:rPr>
                <w:rFonts w:ascii="Calibri" w:hAnsi="Calibri" w:cs="Calibri"/>
                <w:color w:val="000000"/>
                <w:sz w:val="28"/>
                <w:szCs w:val="28"/>
              </w:rPr>
              <w:t>FEMA Public Assistance Grants</w:t>
            </w:r>
            <w:r>
              <w:rPr>
                <w:rFonts w:ascii="Calibri" w:hAnsi="Calibri" w:cs="Calibri"/>
                <w:color w:val="000000"/>
                <w:sz w:val="28"/>
                <w:szCs w:val="28"/>
              </w:rPr>
              <w:t>…………………………………………………………………………………….</w:t>
            </w:r>
          </w:p>
        </w:tc>
        <w:tc>
          <w:tcPr>
            <w:tcW w:w="400" w:type="dxa"/>
            <w:tcBorders>
              <w:top w:val="nil"/>
              <w:left w:val="nil"/>
              <w:bottom w:val="nil"/>
              <w:right w:val="nil"/>
            </w:tcBorders>
            <w:shd w:val="clear" w:color="auto" w:fill="auto"/>
            <w:noWrap/>
            <w:vAlign w:val="bottom"/>
            <w:hideMark/>
          </w:tcPr>
          <w:p w14:paraId="6CF576F8" w14:textId="77777777" w:rsidR="00542B20" w:rsidRPr="00542B20" w:rsidRDefault="00542B20" w:rsidP="00542B20">
            <w:pPr>
              <w:jc w:val="center"/>
              <w:outlineLvl w:val="9"/>
              <w:rPr>
                <w:rFonts w:ascii="Calibri" w:hAnsi="Calibri" w:cs="Calibri"/>
                <w:color w:val="000000"/>
                <w:sz w:val="28"/>
                <w:szCs w:val="28"/>
              </w:rPr>
            </w:pPr>
            <w:r w:rsidRPr="00542B20">
              <w:rPr>
                <w:rFonts w:ascii="Calibri" w:hAnsi="Calibri" w:cs="Calibri"/>
                <w:color w:val="000000"/>
                <w:sz w:val="28"/>
                <w:szCs w:val="28"/>
              </w:rPr>
              <w:t>27</w:t>
            </w:r>
          </w:p>
        </w:tc>
      </w:tr>
    </w:tbl>
    <w:p w14:paraId="3D0361C1" w14:textId="77777777" w:rsidR="00727142" w:rsidRDefault="00727142" w:rsidP="00727142">
      <w:pPr>
        <w:tabs>
          <w:tab w:val="left" w:pos="90"/>
        </w:tabs>
        <w:outlineLvl w:val="9"/>
      </w:pPr>
    </w:p>
    <w:p w14:paraId="45C9FC22" w14:textId="77777777" w:rsidR="00727142" w:rsidRDefault="00727142">
      <w:pPr>
        <w:outlineLvl w:val="9"/>
      </w:pPr>
      <w:r>
        <w:br w:type="page"/>
      </w:r>
    </w:p>
    <w:p w14:paraId="70DA8814" w14:textId="77777777" w:rsidR="00727142" w:rsidRDefault="00727142" w:rsidP="00727142">
      <w:pPr>
        <w:tabs>
          <w:tab w:val="left" w:pos="90"/>
        </w:tabs>
        <w:outlineLvl w:val="9"/>
        <w:rPr>
          <w:b/>
          <w:bCs/>
          <w:sz w:val="32"/>
          <w:szCs w:val="32"/>
        </w:rPr>
      </w:pPr>
    </w:p>
    <w:p w14:paraId="0AA35E68" w14:textId="77777777" w:rsidR="00AD6A46" w:rsidRPr="00A5130C" w:rsidRDefault="00AD6A46" w:rsidP="007F1F1C">
      <w:pPr>
        <w:pStyle w:val="Heading1"/>
      </w:pPr>
      <w:r w:rsidRPr="00A5130C">
        <w:t>Introduction</w:t>
      </w:r>
      <w:bookmarkEnd w:id="0"/>
    </w:p>
    <w:p w14:paraId="38696811" w14:textId="77777777" w:rsidR="00AD6A46" w:rsidRDefault="00AD6A46" w:rsidP="007F1F1C"/>
    <w:p w14:paraId="3ECA1510" w14:textId="77777777" w:rsidR="00E34C5E" w:rsidRDefault="00E34C5E" w:rsidP="007F1F1C"/>
    <w:p w14:paraId="6996EC30" w14:textId="77777777" w:rsidR="00AD6A46" w:rsidRPr="008E5242" w:rsidRDefault="007A2F6E" w:rsidP="007F1F1C">
      <w:pPr>
        <w:rPr>
          <w:rFonts w:eastAsia="Calibri"/>
        </w:rPr>
      </w:pPr>
      <w:r w:rsidRPr="008E5242">
        <w:rPr>
          <w:rFonts w:eastAsia="Calibri"/>
        </w:rPr>
        <w:t>As</w:t>
      </w:r>
      <w:r w:rsidR="00AD6A46" w:rsidRPr="008E5242">
        <w:rPr>
          <w:rFonts w:eastAsia="Calibri"/>
        </w:rPr>
        <w:t xml:space="preserve"> health centers play a crucial role in responding to the COVID-19 pandemic, many are encountering severe and unprecedented drops in short-term revenue</w:t>
      </w:r>
      <w:r w:rsidR="00574FCE" w:rsidRPr="008E5242">
        <w:rPr>
          <w:rFonts w:eastAsia="Calibri"/>
        </w:rPr>
        <w:t xml:space="preserve">, due to </w:t>
      </w:r>
      <w:r w:rsidR="00AD6A46" w:rsidRPr="008E5242">
        <w:rPr>
          <w:rFonts w:eastAsia="Calibri"/>
        </w:rPr>
        <w:t>sharp decreases in routine visits as patients shelter in place</w:t>
      </w:r>
      <w:r w:rsidR="00574FCE" w:rsidRPr="008E5242">
        <w:rPr>
          <w:rFonts w:eastAsia="Calibri"/>
        </w:rPr>
        <w:t>,</w:t>
      </w:r>
      <w:r w:rsidR="00377491" w:rsidRPr="008E5242">
        <w:rPr>
          <w:rFonts w:eastAsia="Calibri"/>
        </w:rPr>
        <w:t xml:space="preserve"> and </w:t>
      </w:r>
      <w:r w:rsidR="00574FCE" w:rsidRPr="008E5242">
        <w:rPr>
          <w:rFonts w:eastAsia="Calibri"/>
        </w:rPr>
        <w:t xml:space="preserve">the need to </w:t>
      </w:r>
      <w:r w:rsidR="00AD6A46" w:rsidRPr="008E5242">
        <w:rPr>
          <w:rFonts w:eastAsia="Calibri"/>
        </w:rPr>
        <w:t xml:space="preserve">reduce or stop </w:t>
      </w:r>
      <w:r w:rsidR="00574FCE" w:rsidRPr="008E5242">
        <w:rPr>
          <w:rFonts w:eastAsia="Calibri"/>
        </w:rPr>
        <w:t xml:space="preserve">some services </w:t>
      </w:r>
      <w:r w:rsidR="00AD6A46" w:rsidRPr="008E5242">
        <w:rPr>
          <w:rFonts w:eastAsia="Calibri"/>
        </w:rPr>
        <w:t xml:space="preserve">in order to divert PPE and other resource to COVID-19 efforts. </w:t>
      </w:r>
      <w:r w:rsidR="00574FCE" w:rsidRPr="008E5242">
        <w:rPr>
          <w:rFonts w:eastAsia="Calibri"/>
        </w:rPr>
        <w:t xml:space="preserve"> As h</w:t>
      </w:r>
      <w:r w:rsidR="00AD6A46" w:rsidRPr="008E5242">
        <w:rPr>
          <w:rFonts w:eastAsia="Calibri"/>
        </w:rPr>
        <w:t>ealth center</w:t>
      </w:r>
      <w:r w:rsidR="00377491" w:rsidRPr="008E5242">
        <w:rPr>
          <w:rFonts w:eastAsia="Calibri"/>
        </w:rPr>
        <w:t>s’</w:t>
      </w:r>
      <w:r w:rsidR="00AD6A46" w:rsidRPr="008E5242">
        <w:rPr>
          <w:rFonts w:eastAsia="Calibri"/>
        </w:rPr>
        <w:t xml:space="preserve"> cash reserves </w:t>
      </w:r>
      <w:r w:rsidR="00574FCE" w:rsidRPr="008E5242">
        <w:rPr>
          <w:rFonts w:eastAsia="Calibri"/>
        </w:rPr>
        <w:t xml:space="preserve">drop, </w:t>
      </w:r>
      <w:r w:rsidR="00AD6A46" w:rsidRPr="008E5242">
        <w:rPr>
          <w:rFonts w:eastAsia="Calibri"/>
        </w:rPr>
        <w:t>many now face difficult decisions on how to meet payroll or other financial obligations. This document provides a</w:t>
      </w:r>
      <w:r w:rsidR="00377491" w:rsidRPr="008E5242">
        <w:rPr>
          <w:rFonts w:eastAsia="Calibri"/>
        </w:rPr>
        <w:t xml:space="preserve">n </w:t>
      </w:r>
      <w:r w:rsidR="00AD6A46" w:rsidRPr="008E5242">
        <w:rPr>
          <w:rFonts w:eastAsia="Calibri"/>
        </w:rPr>
        <w:t xml:space="preserve">overview of </w:t>
      </w:r>
      <w:r w:rsidR="00911AF3" w:rsidRPr="008E5242">
        <w:rPr>
          <w:rFonts w:eastAsia="Calibri"/>
        </w:rPr>
        <w:t xml:space="preserve">funding </w:t>
      </w:r>
      <w:r w:rsidR="00C35F3A" w:rsidRPr="008E5242">
        <w:rPr>
          <w:rFonts w:eastAsia="Calibri"/>
        </w:rPr>
        <w:t>re</w:t>
      </w:r>
      <w:r w:rsidR="00911AF3" w:rsidRPr="008E5242">
        <w:rPr>
          <w:rFonts w:eastAsia="Calibri"/>
        </w:rPr>
        <w:t xml:space="preserve">sources that </w:t>
      </w:r>
      <w:r w:rsidR="00AD6A46" w:rsidRPr="008E5242">
        <w:rPr>
          <w:rFonts w:eastAsia="Calibri"/>
        </w:rPr>
        <w:t xml:space="preserve">that health centers </w:t>
      </w:r>
      <w:r w:rsidR="00574FCE" w:rsidRPr="008E5242">
        <w:rPr>
          <w:rFonts w:eastAsia="Calibri"/>
        </w:rPr>
        <w:t>– as well as PCAs</w:t>
      </w:r>
      <w:r w:rsidR="00684800" w:rsidRPr="008E5242">
        <w:rPr>
          <w:rFonts w:eastAsia="Calibri"/>
        </w:rPr>
        <w:t xml:space="preserve"> and </w:t>
      </w:r>
      <w:r w:rsidR="00574FCE" w:rsidRPr="008E5242">
        <w:rPr>
          <w:rFonts w:eastAsia="Calibri"/>
        </w:rPr>
        <w:t xml:space="preserve">HCCNs - </w:t>
      </w:r>
      <w:r w:rsidR="00911AF3" w:rsidRPr="008E5242">
        <w:rPr>
          <w:rFonts w:eastAsia="Calibri"/>
        </w:rPr>
        <w:t xml:space="preserve">may be able to access </w:t>
      </w:r>
      <w:r w:rsidR="00AD6A46" w:rsidRPr="008E5242">
        <w:rPr>
          <w:rFonts w:eastAsia="Calibri"/>
        </w:rPr>
        <w:t>to cover revenue shortfalls and to help their employees make ends meet during this time.</w:t>
      </w:r>
      <w:r w:rsidR="00C35F3A" w:rsidRPr="008E5242">
        <w:rPr>
          <w:rFonts w:eastAsia="Calibri"/>
        </w:rPr>
        <w:t xml:space="preserve">  These resources are divided into grants from HHS, and</w:t>
      </w:r>
      <w:r w:rsidR="00A5130C" w:rsidRPr="008E5242">
        <w:rPr>
          <w:rFonts w:eastAsia="Calibri"/>
        </w:rPr>
        <w:t xml:space="preserve"> non-grant</w:t>
      </w:r>
      <w:r w:rsidR="00C35F3A" w:rsidRPr="008E5242">
        <w:rPr>
          <w:rFonts w:eastAsia="Calibri"/>
        </w:rPr>
        <w:t xml:space="preserve"> options, which include loans, tax credits, advances, deferrals, paid employee leave, and unemployment insurance.  Among the non-grant options, two important programs (the Paycheck Protection Program and FFCRA emergency paid leave) </w:t>
      </w:r>
      <w:r w:rsidR="00A61575" w:rsidRPr="008E5242">
        <w:rPr>
          <w:rFonts w:eastAsia="Calibri"/>
        </w:rPr>
        <w:t>are available only to health centers with fewer than 500 employees, so these are broken out separately.</w:t>
      </w:r>
    </w:p>
    <w:p w14:paraId="5DEFE46C" w14:textId="77777777" w:rsidR="00911AF3" w:rsidRPr="008E5242" w:rsidRDefault="00911AF3" w:rsidP="007F1F1C">
      <w:pPr>
        <w:rPr>
          <w:rFonts w:eastAsia="Calibri"/>
        </w:rPr>
      </w:pPr>
    </w:p>
    <w:p w14:paraId="571AEE28" w14:textId="77777777" w:rsidR="00911AF3" w:rsidRPr="008E5242" w:rsidRDefault="00A5130C" w:rsidP="007F1F1C">
      <w:pPr>
        <w:rPr>
          <w:rFonts w:eastAsia="Calibri"/>
        </w:rPr>
      </w:pPr>
      <w:r w:rsidRPr="008E5242">
        <w:rPr>
          <w:rFonts w:eastAsia="Calibri"/>
        </w:rPr>
        <w:t>Accordingly, this</w:t>
      </w:r>
      <w:r w:rsidR="00911AF3" w:rsidRPr="008E5242">
        <w:rPr>
          <w:rFonts w:eastAsia="Calibri"/>
        </w:rPr>
        <w:t xml:space="preserve"> document is </w:t>
      </w:r>
      <w:r w:rsidR="005971F9" w:rsidRPr="008E5242">
        <w:rPr>
          <w:rFonts w:eastAsia="Calibri"/>
        </w:rPr>
        <w:t xml:space="preserve">organized into three sections, as </w:t>
      </w:r>
      <w:r w:rsidR="00911AF3" w:rsidRPr="008E5242">
        <w:rPr>
          <w:rFonts w:eastAsia="Calibri"/>
        </w:rPr>
        <w:t>follows:</w:t>
      </w:r>
    </w:p>
    <w:p w14:paraId="3F2F5617" w14:textId="77777777" w:rsidR="001C09E1" w:rsidRPr="008E5242" w:rsidRDefault="00911AF3" w:rsidP="007F1F1C">
      <w:pPr>
        <w:pStyle w:val="ListParagraph"/>
        <w:numPr>
          <w:ilvl w:val="0"/>
          <w:numId w:val="21"/>
        </w:numPr>
        <w:rPr>
          <w:rFonts w:ascii="Calibri" w:eastAsia="Calibri" w:hAnsi="Calibri" w:cs="Calibri"/>
          <w:sz w:val="24"/>
          <w:szCs w:val="24"/>
        </w:rPr>
      </w:pPr>
      <w:r w:rsidRPr="008E5242">
        <w:rPr>
          <w:rFonts w:ascii="Calibri" w:eastAsia="Calibri" w:hAnsi="Calibri" w:cs="Calibri"/>
          <w:b/>
          <w:bCs/>
          <w:sz w:val="24"/>
          <w:szCs w:val="24"/>
        </w:rPr>
        <w:t xml:space="preserve">Grant </w:t>
      </w:r>
      <w:r w:rsidR="001E3B22" w:rsidRPr="008E5242">
        <w:rPr>
          <w:rFonts w:ascii="Calibri" w:eastAsia="Calibri" w:hAnsi="Calibri" w:cs="Calibri"/>
          <w:b/>
          <w:bCs/>
          <w:sz w:val="24"/>
          <w:szCs w:val="24"/>
        </w:rPr>
        <w:t>f</w:t>
      </w:r>
      <w:r w:rsidRPr="008E5242">
        <w:rPr>
          <w:b/>
          <w:bCs/>
          <w:sz w:val="24"/>
          <w:szCs w:val="24"/>
        </w:rPr>
        <w:t>unding provided directly by HHS</w:t>
      </w:r>
      <w:r w:rsidRPr="008E5242">
        <w:rPr>
          <w:sz w:val="24"/>
          <w:szCs w:val="24"/>
        </w:rPr>
        <w:t xml:space="preserve"> to Health Centers during the COVID-19 emergency</w:t>
      </w:r>
    </w:p>
    <w:p w14:paraId="160676DE" w14:textId="77777777" w:rsidR="0044088F" w:rsidRPr="008E5242" w:rsidRDefault="008E0BC1" w:rsidP="008E5242">
      <w:pPr>
        <w:pStyle w:val="ListParagraph"/>
        <w:numPr>
          <w:ilvl w:val="1"/>
          <w:numId w:val="21"/>
        </w:numPr>
        <w:ind w:left="720"/>
        <w:rPr>
          <w:rFonts w:ascii="Calibri" w:eastAsia="Calibri" w:hAnsi="Calibri" w:cs="Calibri"/>
          <w:b/>
          <w:bCs/>
          <w:sz w:val="24"/>
          <w:szCs w:val="24"/>
        </w:rPr>
      </w:pPr>
      <w:r w:rsidRPr="008E5242">
        <w:rPr>
          <w:rFonts w:ascii="Calibri" w:eastAsia="Calibri" w:hAnsi="Calibri" w:cs="Calibri"/>
          <w:b/>
          <w:bCs/>
          <w:sz w:val="24"/>
          <w:szCs w:val="24"/>
        </w:rPr>
        <w:t>N</w:t>
      </w:r>
      <w:r w:rsidR="007B3F67" w:rsidRPr="008E5242">
        <w:rPr>
          <w:rFonts w:ascii="Calibri" w:eastAsia="Calibri" w:hAnsi="Calibri" w:cs="Calibri"/>
          <w:b/>
          <w:bCs/>
          <w:sz w:val="24"/>
          <w:szCs w:val="24"/>
        </w:rPr>
        <w:t xml:space="preserve">on-grant options </w:t>
      </w:r>
      <w:r w:rsidR="0044088F" w:rsidRPr="008E5242">
        <w:rPr>
          <w:b/>
          <w:bCs/>
          <w:sz w:val="24"/>
          <w:szCs w:val="24"/>
        </w:rPr>
        <w:t>open to Health Centers, PCAs and HCCNs with less than 500 employees</w:t>
      </w:r>
    </w:p>
    <w:p w14:paraId="110AD335" w14:textId="77777777" w:rsidR="0044088F" w:rsidRPr="008E5242" w:rsidRDefault="0044088F" w:rsidP="008E5242">
      <w:pPr>
        <w:pStyle w:val="ListParagraph"/>
        <w:numPr>
          <w:ilvl w:val="1"/>
          <w:numId w:val="21"/>
        </w:numPr>
        <w:ind w:left="720"/>
        <w:rPr>
          <w:rFonts w:ascii="Calibri" w:eastAsia="Calibri" w:hAnsi="Calibri" w:cs="Calibri"/>
          <w:b/>
          <w:bCs/>
          <w:sz w:val="24"/>
          <w:szCs w:val="24"/>
        </w:rPr>
      </w:pPr>
      <w:r w:rsidRPr="008E5242">
        <w:rPr>
          <w:rFonts w:ascii="Calibri" w:eastAsia="Calibri" w:hAnsi="Calibri" w:cs="Calibri"/>
          <w:b/>
          <w:bCs/>
          <w:sz w:val="24"/>
          <w:szCs w:val="24"/>
        </w:rPr>
        <w:t xml:space="preserve">Non-grant options </w:t>
      </w:r>
      <w:r w:rsidRPr="008E5242">
        <w:rPr>
          <w:b/>
          <w:bCs/>
          <w:sz w:val="24"/>
          <w:szCs w:val="24"/>
        </w:rPr>
        <w:t>open to all Health Centers, PCAs and HCCNs</w:t>
      </w:r>
    </w:p>
    <w:p w14:paraId="67554057" w14:textId="77777777" w:rsidR="0044088F" w:rsidRPr="008E5242" w:rsidRDefault="00A5130C" w:rsidP="007F1F1C">
      <w:pPr>
        <w:rPr>
          <w:rFonts w:eastAsia="Calibri"/>
        </w:rPr>
      </w:pPr>
      <w:r w:rsidRPr="008E5242">
        <w:rPr>
          <w:rFonts w:eastAsia="Calibri"/>
        </w:rPr>
        <w:t xml:space="preserve">Each section begins with a chart summarizing the options, followed by narrative discussions of each. </w:t>
      </w:r>
    </w:p>
    <w:p w14:paraId="4C922A43" w14:textId="77777777" w:rsidR="00A5130C" w:rsidRPr="008E5242" w:rsidRDefault="00A5130C" w:rsidP="007F1F1C">
      <w:pPr>
        <w:rPr>
          <w:rFonts w:eastAsia="Calibri"/>
        </w:rPr>
      </w:pPr>
    </w:p>
    <w:p w14:paraId="1E6C3252" w14:textId="77777777" w:rsidR="00BC3ABA" w:rsidRPr="008E5242" w:rsidRDefault="00901A13" w:rsidP="007F1F1C">
      <w:r w:rsidRPr="008E5242">
        <w:t>Finally, as noted on the cover, this will be an evolving document</w:t>
      </w:r>
      <w:r w:rsidR="002574D9" w:rsidRPr="008E5242">
        <w:t xml:space="preserve">.  </w:t>
      </w:r>
      <w:r w:rsidR="007A2F6E" w:rsidRPr="008E5242">
        <w:t>The  most up-to-date version of this document will always be available on the NACHC COVID</w:t>
      </w:r>
      <w:r w:rsidR="002574D9" w:rsidRPr="008E5242">
        <w:t>-19</w:t>
      </w:r>
      <w:r w:rsidR="007A2F6E" w:rsidRPr="008E5242">
        <w:t xml:space="preserve"> webpage and Noddlepod.  (If you or a colleague would like access to Noddlepod, please email Susan Hansen at </w:t>
      </w:r>
      <w:hyperlink r:id="rId9" w:history="1">
        <w:r w:rsidR="00D16B19" w:rsidRPr="008E5242">
          <w:rPr>
            <w:rStyle w:val="Hyperlink"/>
          </w:rPr>
          <w:t>shansen@nachc.org</w:t>
        </w:r>
      </w:hyperlink>
      <w:r w:rsidR="007A2F6E" w:rsidRPr="008E5242">
        <w:t>.)</w:t>
      </w:r>
    </w:p>
    <w:p w14:paraId="37D32F6F" w14:textId="77777777" w:rsidR="00BC3ABA" w:rsidRPr="008E5242" w:rsidRDefault="00BC3ABA" w:rsidP="007F1F1C">
      <w:r w:rsidRPr="008E5242">
        <w:br w:type="page"/>
      </w:r>
    </w:p>
    <w:p w14:paraId="3BCF7F47" w14:textId="77777777" w:rsidR="006B4B89" w:rsidRDefault="006B7029" w:rsidP="007F1F1C">
      <w:pPr>
        <w:pStyle w:val="Heading1"/>
      </w:pPr>
      <w:bookmarkStart w:id="15" w:name="_Toc37850318"/>
      <w:bookmarkStart w:id="16" w:name="_Hlk37858644"/>
      <w:r w:rsidRPr="00BC3ABA">
        <w:lastRenderedPageBreak/>
        <w:t>Grant funding provided directly by HHS to Health Centers during the COVID-19 emergency</w:t>
      </w:r>
      <w:bookmarkEnd w:id="15"/>
    </w:p>
    <w:bookmarkEnd w:id="16"/>
    <w:p w14:paraId="2252AB59" w14:textId="77777777" w:rsidR="00EB56C3" w:rsidRPr="007F1F1C" w:rsidRDefault="00EB56C3" w:rsidP="007F1F1C">
      <w:pPr>
        <w:jc w:val="center"/>
        <w:rPr>
          <w:i/>
          <w:iCs/>
          <w:sz w:val="28"/>
          <w:szCs w:val="28"/>
        </w:rPr>
      </w:pPr>
      <w:r w:rsidRPr="007F1F1C">
        <w:rPr>
          <w:i/>
          <w:iCs/>
          <w:sz w:val="28"/>
          <w:szCs w:val="28"/>
        </w:rPr>
        <w:t>As of April 1</w:t>
      </w:r>
      <w:r w:rsidR="00280B92">
        <w:rPr>
          <w:i/>
          <w:iCs/>
          <w:sz w:val="28"/>
          <w:szCs w:val="28"/>
        </w:rPr>
        <w:t>5</w:t>
      </w:r>
      <w:r w:rsidR="006B4B89" w:rsidRPr="007F1F1C">
        <w:rPr>
          <w:i/>
          <w:iCs/>
          <w:sz w:val="28"/>
          <w:szCs w:val="28"/>
        </w:rPr>
        <w:t>, page 1 of 2</w:t>
      </w:r>
    </w:p>
    <w:p w14:paraId="58844607" w14:textId="77777777" w:rsidR="006B7029" w:rsidRDefault="006B7029" w:rsidP="007F1F1C"/>
    <w:tbl>
      <w:tblPr>
        <w:tblW w:w="13755" w:type="dxa"/>
        <w:tblInd w:w="-458" w:type="dxa"/>
        <w:tblLook w:val="04A0" w:firstRow="1" w:lastRow="0" w:firstColumn="1" w:lastColumn="0" w:noHBand="0" w:noVBand="1"/>
      </w:tblPr>
      <w:tblGrid>
        <w:gridCol w:w="1501"/>
        <w:gridCol w:w="1084"/>
        <w:gridCol w:w="1122"/>
        <w:gridCol w:w="1026"/>
        <w:gridCol w:w="1368"/>
        <w:gridCol w:w="2229"/>
        <w:gridCol w:w="3355"/>
        <w:gridCol w:w="2070"/>
      </w:tblGrid>
      <w:tr w:rsidR="007F1F1C" w14:paraId="0D026D6A" w14:textId="77777777" w:rsidTr="00134F6A">
        <w:trPr>
          <w:trHeight w:val="900"/>
        </w:trPr>
        <w:tc>
          <w:tcPr>
            <w:tcW w:w="1501" w:type="dxa"/>
            <w:tcBorders>
              <w:top w:val="double" w:sz="6" w:space="0" w:color="auto"/>
              <w:left w:val="double" w:sz="6" w:space="0" w:color="auto"/>
              <w:bottom w:val="double" w:sz="6" w:space="0" w:color="auto"/>
              <w:right w:val="single" w:sz="4" w:space="0" w:color="auto"/>
            </w:tcBorders>
            <w:shd w:val="clear" w:color="auto" w:fill="D0CECE" w:themeFill="background2" w:themeFillShade="E6"/>
            <w:vAlign w:val="center"/>
            <w:hideMark/>
          </w:tcPr>
          <w:p w14:paraId="657F6C6F" w14:textId="77777777" w:rsidR="007F1F1C" w:rsidRPr="00EB56C3" w:rsidRDefault="007F1F1C" w:rsidP="007F1F1C">
            <w:r w:rsidRPr="00EB56C3">
              <w:t>Amount</w:t>
            </w:r>
          </w:p>
        </w:tc>
        <w:tc>
          <w:tcPr>
            <w:tcW w:w="1084" w:type="dxa"/>
            <w:tcBorders>
              <w:top w:val="double" w:sz="6" w:space="0" w:color="auto"/>
              <w:left w:val="nil"/>
              <w:bottom w:val="double" w:sz="6" w:space="0" w:color="auto"/>
              <w:right w:val="single" w:sz="4" w:space="0" w:color="auto"/>
            </w:tcBorders>
            <w:shd w:val="clear" w:color="auto" w:fill="D0CECE" w:themeFill="background2" w:themeFillShade="E6"/>
            <w:vAlign w:val="center"/>
            <w:hideMark/>
          </w:tcPr>
          <w:p w14:paraId="646FBBC2" w14:textId="77777777" w:rsidR="007F1F1C" w:rsidRPr="00EB56C3" w:rsidRDefault="007F1F1C" w:rsidP="007F1F1C">
            <w:r w:rsidRPr="00EB56C3">
              <w:t xml:space="preserve">Estab-lished </w:t>
            </w:r>
          </w:p>
        </w:tc>
        <w:tc>
          <w:tcPr>
            <w:tcW w:w="1122" w:type="dxa"/>
            <w:tcBorders>
              <w:top w:val="double" w:sz="6" w:space="0" w:color="auto"/>
              <w:left w:val="nil"/>
              <w:bottom w:val="double" w:sz="6" w:space="0" w:color="auto"/>
              <w:right w:val="single" w:sz="4" w:space="0" w:color="auto"/>
            </w:tcBorders>
            <w:shd w:val="clear" w:color="auto" w:fill="D0CECE" w:themeFill="background2" w:themeFillShade="E6"/>
            <w:vAlign w:val="center"/>
            <w:hideMark/>
          </w:tcPr>
          <w:p w14:paraId="2D82EEB9" w14:textId="77777777" w:rsidR="007F1F1C" w:rsidRPr="00EB56C3" w:rsidRDefault="007F1F1C" w:rsidP="007F1F1C">
            <w:r w:rsidRPr="00EB56C3">
              <w:t>Who is eligible?</w:t>
            </w:r>
          </w:p>
        </w:tc>
        <w:tc>
          <w:tcPr>
            <w:tcW w:w="1026" w:type="dxa"/>
            <w:tcBorders>
              <w:top w:val="double" w:sz="6" w:space="0" w:color="auto"/>
              <w:left w:val="nil"/>
              <w:bottom w:val="double" w:sz="6" w:space="0" w:color="auto"/>
              <w:right w:val="single" w:sz="4" w:space="0" w:color="auto"/>
            </w:tcBorders>
            <w:shd w:val="clear" w:color="auto" w:fill="D0CECE" w:themeFill="background2" w:themeFillShade="E6"/>
            <w:vAlign w:val="center"/>
            <w:hideMark/>
          </w:tcPr>
          <w:p w14:paraId="130D029B" w14:textId="77777777" w:rsidR="007F1F1C" w:rsidRPr="00EB56C3" w:rsidRDefault="007F1F1C" w:rsidP="007F1F1C">
            <w:r w:rsidRPr="00EB56C3">
              <w:t>LALs eligible?</w:t>
            </w:r>
          </w:p>
        </w:tc>
        <w:tc>
          <w:tcPr>
            <w:tcW w:w="1368" w:type="dxa"/>
            <w:tcBorders>
              <w:top w:val="double" w:sz="6" w:space="0" w:color="auto"/>
              <w:left w:val="nil"/>
              <w:bottom w:val="double" w:sz="6" w:space="0" w:color="auto"/>
              <w:right w:val="single" w:sz="4" w:space="0" w:color="auto"/>
            </w:tcBorders>
            <w:shd w:val="clear" w:color="auto" w:fill="D0CECE" w:themeFill="background2" w:themeFillShade="E6"/>
            <w:vAlign w:val="center"/>
            <w:hideMark/>
          </w:tcPr>
          <w:p w14:paraId="7529AE26" w14:textId="77777777" w:rsidR="007F1F1C" w:rsidRPr="00EB56C3" w:rsidRDefault="007F1F1C" w:rsidP="007F1F1C">
            <w:r w:rsidRPr="00EB56C3">
              <w:t>Who distributes?</w:t>
            </w:r>
          </w:p>
        </w:tc>
        <w:tc>
          <w:tcPr>
            <w:tcW w:w="2229" w:type="dxa"/>
            <w:tcBorders>
              <w:top w:val="double" w:sz="6" w:space="0" w:color="auto"/>
              <w:left w:val="nil"/>
              <w:bottom w:val="double" w:sz="6" w:space="0" w:color="auto"/>
              <w:right w:val="single" w:sz="4" w:space="0" w:color="auto"/>
            </w:tcBorders>
            <w:shd w:val="clear" w:color="auto" w:fill="D0CECE" w:themeFill="background2" w:themeFillShade="E6"/>
            <w:vAlign w:val="center"/>
            <w:hideMark/>
          </w:tcPr>
          <w:p w14:paraId="5B0AF0B3" w14:textId="77777777" w:rsidR="007F1F1C" w:rsidRPr="00EB56C3" w:rsidRDefault="007F1F1C" w:rsidP="007F1F1C">
            <w:r w:rsidRPr="00EB56C3">
              <w:t>Date distributed</w:t>
            </w:r>
          </w:p>
        </w:tc>
        <w:tc>
          <w:tcPr>
            <w:tcW w:w="3355" w:type="dxa"/>
            <w:tcBorders>
              <w:top w:val="double" w:sz="6" w:space="0" w:color="auto"/>
              <w:left w:val="nil"/>
              <w:bottom w:val="double" w:sz="6" w:space="0" w:color="auto"/>
              <w:right w:val="nil"/>
            </w:tcBorders>
            <w:shd w:val="clear" w:color="auto" w:fill="D0CECE" w:themeFill="background2" w:themeFillShade="E6"/>
            <w:vAlign w:val="center"/>
            <w:hideMark/>
          </w:tcPr>
          <w:p w14:paraId="4DC0D779" w14:textId="77777777" w:rsidR="007F1F1C" w:rsidRPr="00EB56C3" w:rsidRDefault="007F1F1C" w:rsidP="007F1F1C">
            <w:r w:rsidRPr="00EB56C3">
              <w:t>Allowable Uses</w:t>
            </w:r>
          </w:p>
        </w:tc>
        <w:tc>
          <w:tcPr>
            <w:tcW w:w="2070" w:type="dxa"/>
            <w:tcBorders>
              <w:top w:val="double" w:sz="6" w:space="0" w:color="auto"/>
              <w:left w:val="single" w:sz="4" w:space="0" w:color="auto"/>
              <w:bottom w:val="double" w:sz="6" w:space="0" w:color="auto"/>
              <w:right w:val="single" w:sz="4" w:space="0" w:color="auto"/>
            </w:tcBorders>
            <w:shd w:val="clear" w:color="auto" w:fill="D0CECE" w:themeFill="background2" w:themeFillShade="E6"/>
          </w:tcPr>
          <w:p w14:paraId="7A170BA1" w14:textId="77777777" w:rsidR="007F1F1C" w:rsidRDefault="007F1F1C" w:rsidP="007F1F1C"/>
          <w:p w14:paraId="6126150D" w14:textId="77777777" w:rsidR="007F1F1C" w:rsidRPr="00EB56C3" w:rsidRDefault="007F1F1C" w:rsidP="007F1F1C">
            <w:r w:rsidRPr="00EB56C3">
              <w:t>Other</w:t>
            </w:r>
          </w:p>
        </w:tc>
      </w:tr>
      <w:tr w:rsidR="007F1F1C" w14:paraId="22D3BB1D" w14:textId="77777777" w:rsidTr="00134F6A">
        <w:trPr>
          <w:trHeight w:val="1890"/>
        </w:trPr>
        <w:tc>
          <w:tcPr>
            <w:tcW w:w="1501" w:type="dxa"/>
            <w:tcBorders>
              <w:top w:val="nil"/>
              <w:left w:val="double" w:sz="6" w:space="0" w:color="auto"/>
              <w:bottom w:val="single" w:sz="4" w:space="0" w:color="auto"/>
              <w:right w:val="single" w:sz="4" w:space="0" w:color="auto"/>
            </w:tcBorders>
            <w:shd w:val="clear" w:color="auto" w:fill="auto"/>
            <w:vAlign w:val="center"/>
            <w:hideMark/>
          </w:tcPr>
          <w:p w14:paraId="312C3F3F" w14:textId="77777777" w:rsidR="007F1F1C" w:rsidRPr="00EB56C3" w:rsidRDefault="007F1F1C" w:rsidP="007F1F1C">
            <w:r w:rsidRPr="00EB56C3">
              <w:t>$100 million</w:t>
            </w:r>
          </w:p>
        </w:tc>
        <w:tc>
          <w:tcPr>
            <w:tcW w:w="1084" w:type="dxa"/>
            <w:tcBorders>
              <w:top w:val="nil"/>
              <w:left w:val="nil"/>
              <w:bottom w:val="single" w:sz="4" w:space="0" w:color="auto"/>
              <w:right w:val="single" w:sz="4" w:space="0" w:color="auto"/>
            </w:tcBorders>
            <w:shd w:val="clear" w:color="auto" w:fill="auto"/>
            <w:vAlign w:val="center"/>
            <w:hideMark/>
          </w:tcPr>
          <w:p w14:paraId="09830F29" w14:textId="77777777" w:rsidR="007F1F1C" w:rsidRPr="00EB56C3" w:rsidRDefault="007F1F1C" w:rsidP="00134F6A">
            <w:pPr>
              <w:jc w:val="center"/>
            </w:pPr>
            <w:r w:rsidRPr="00EB56C3">
              <w:t xml:space="preserve">COVID Supple-mental Approps  (signed </w:t>
            </w:r>
            <w:r w:rsidR="00134F6A">
              <w:t>3/4</w:t>
            </w:r>
            <w:r w:rsidRPr="00EB56C3">
              <w:t>)</w:t>
            </w:r>
          </w:p>
        </w:tc>
        <w:tc>
          <w:tcPr>
            <w:tcW w:w="1122" w:type="dxa"/>
            <w:tcBorders>
              <w:top w:val="nil"/>
              <w:left w:val="nil"/>
              <w:bottom w:val="single" w:sz="4" w:space="0" w:color="auto"/>
              <w:right w:val="single" w:sz="4" w:space="0" w:color="auto"/>
            </w:tcBorders>
            <w:shd w:val="clear" w:color="auto" w:fill="auto"/>
            <w:vAlign w:val="center"/>
            <w:hideMark/>
          </w:tcPr>
          <w:p w14:paraId="03E93F03" w14:textId="77777777" w:rsidR="007F1F1C" w:rsidRPr="00EB56C3" w:rsidRDefault="007F1F1C" w:rsidP="00134F6A">
            <w:pPr>
              <w:jc w:val="center"/>
            </w:pPr>
            <w:r w:rsidRPr="00EB56C3">
              <w:t>Health center grantees</w:t>
            </w:r>
          </w:p>
        </w:tc>
        <w:tc>
          <w:tcPr>
            <w:tcW w:w="1026" w:type="dxa"/>
            <w:tcBorders>
              <w:top w:val="nil"/>
              <w:left w:val="nil"/>
              <w:bottom w:val="single" w:sz="4" w:space="0" w:color="auto"/>
              <w:right w:val="single" w:sz="4" w:space="0" w:color="auto"/>
            </w:tcBorders>
            <w:shd w:val="clear" w:color="auto" w:fill="auto"/>
            <w:vAlign w:val="center"/>
            <w:hideMark/>
          </w:tcPr>
          <w:p w14:paraId="26230286" w14:textId="77777777" w:rsidR="007F1F1C" w:rsidRPr="00EB56C3" w:rsidRDefault="007F1F1C" w:rsidP="00134F6A">
            <w:pPr>
              <w:jc w:val="center"/>
            </w:pPr>
            <w:r w:rsidRPr="00EB56C3">
              <w:t>No</w:t>
            </w:r>
          </w:p>
        </w:tc>
        <w:tc>
          <w:tcPr>
            <w:tcW w:w="1368" w:type="dxa"/>
            <w:tcBorders>
              <w:top w:val="nil"/>
              <w:left w:val="nil"/>
              <w:bottom w:val="single" w:sz="4" w:space="0" w:color="auto"/>
              <w:right w:val="single" w:sz="4" w:space="0" w:color="auto"/>
            </w:tcBorders>
            <w:shd w:val="clear" w:color="auto" w:fill="auto"/>
            <w:vAlign w:val="center"/>
            <w:hideMark/>
          </w:tcPr>
          <w:p w14:paraId="28249D82" w14:textId="77777777" w:rsidR="007F1F1C" w:rsidRPr="00EB56C3" w:rsidRDefault="007F1F1C" w:rsidP="00134F6A">
            <w:pPr>
              <w:jc w:val="center"/>
            </w:pPr>
            <w:r w:rsidRPr="00EB56C3">
              <w:t>BPHC/ HRSA</w:t>
            </w:r>
          </w:p>
        </w:tc>
        <w:tc>
          <w:tcPr>
            <w:tcW w:w="2229" w:type="dxa"/>
            <w:tcBorders>
              <w:top w:val="nil"/>
              <w:left w:val="nil"/>
              <w:bottom w:val="single" w:sz="4" w:space="0" w:color="auto"/>
              <w:right w:val="single" w:sz="4" w:space="0" w:color="auto"/>
            </w:tcBorders>
            <w:shd w:val="clear" w:color="auto" w:fill="auto"/>
            <w:vAlign w:val="center"/>
            <w:hideMark/>
          </w:tcPr>
          <w:p w14:paraId="1FBB3B00" w14:textId="77777777" w:rsidR="007F1F1C" w:rsidRPr="00EB56C3" w:rsidRDefault="007F1F1C" w:rsidP="00134F6A">
            <w:pPr>
              <w:jc w:val="center"/>
            </w:pPr>
            <w:r w:rsidRPr="00EB56C3">
              <w:t>Around 3/27</w:t>
            </w:r>
          </w:p>
        </w:tc>
        <w:tc>
          <w:tcPr>
            <w:tcW w:w="3355" w:type="dxa"/>
            <w:tcBorders>
              <w:top w:val="nil"/>
              <w:left w:val="nil"/>
              <w:bottom w:val="single" w:sz="4" w:space="0" w:color="auto"/>
              <w:right w:val="nil"/>
            </w:tcBorders>
            <w:shd w:val="clear" w:color="auto" w:fill="auto"/>
            <w:vAlign w:val="center"/>
            <w:hideMark/>
          </w:tcPr>
          <w:p w14:paraId="6CD3405F" w14:textId="77777777" w:rsidR="007F1F1C" w:rsidRPr="00EB56C3" w:rsidRDefault="007F1F1C" w:rsidP="007F1F1C">
            <w:r w:rsidRPr="00EB56C3">
              <w:t>Expenses, including personnel, associated with COVID prevention, preparedness &amp; response.  Pre-award costs are permitted back to 1/20/2020.  Cannot use to pay providers not working on COVID-19.</w:t>
            </w:r>
          </w:p>
        </w:tc>
        <w:tc>
          <w:tcPr>
            <w:tcW w:w="2070" w:type="dxa"/>
            <w:tcBorders>
              <w:top w:val="nil"/>
              <w:left w:val="single" w:sz="4" w:space="0" w:color="auto"/>
              <w:bottom w:val="single" w:sz="4" w:space="0" w:color="auto"/>
              <w:right w:val="single" w:sz="4" w:space="0" w:color="auto"/>
            </w:tcBorders>
          </w:tcPr>
          <w:p w14:paraId="7F596063" w14:textId="77777777" w:rsidR="007F1F1C" w:rsidRPr="00EB56C3" w:rsidRDefault="007F1F1C" w:rsidP="007F1F1C">
            <w:r w:rsidRPr="00EB56C3">
              <w:t>BPHC formula:  base of $50,464, plus $0.50 per patient, plus $2.50 per uninsured patient (data from 2018 UDS)</w:t>
            </w:r>
            <w:r>
              <w:t>.</w:t>
            </w:r>
          </w:p>
        </w:tc>
      </w:tr>
      <w:tr w:rsidR="007F1F1C" w14:paraId="453AB723" w14:textId="77777777" w:rsidTr="00134F6A">
        <w:trPr>
          <w:trHeight w:val="1790"/>
        </w:trPr>
        <w:tc>
          <w:tcPr>
            <w:tcW w:w="1501" w:type="dxa"/>
            <w:tcBorders>
              <w:top w:val="nil"/>
              <w:left w:val="double" w:sz="6" w:space="0" w:color="auto"/>
              <w:bottom w:val="single" w:sz="4" w:space="0" w:color="auto"/>
              <w:right w:val="single" w:sz="4" w:space="0" w:color="auto"/>
            </w:tcBorders>
            <w:shd w:val="clear" w:color="auto" w:fill="auto"/>
            <w:vAlign w:val="center"/>
            <w:hideMark/>
          </w:tcPr>
          <w:p w14:paraId="2FBE18D5" w14:textId="77777777" w:rsidR="007F1F1C" w:rsidRPr="00EB56C3" w:rsidRDefault="007F1F1C" w:rsidP="007F1F1C">
            <w:r w:rsidRPr="00EB56C3">
              <w:t>$1.32 billion</w:t>
            </w:r>
          </w:p>
        </w:tc>
        <w:tc>
          <w:tcPr>
            <w:tcW w:w="1084" w:type="dxa"/>
            <w:tcBorders>
              <w:top w:val="nil"/>
              <w:left w:val="nil"/>
              <w:bottom w:val="single" w:sz="4" w:space="0" w:color="auto"/>
              <w:right w:val="single" w:sz="4" w:space="0" w:color="auto"/>
            </w:tcBorders>
            <w:shd w:val="clear" w:color="auto" w:fill="auto"/>
            <w:vAlign w:val="center"/>
            <w:hideMark/>
          </w:tcPr>
          <w:p w14:paraId="2ACB804B" w14:textId="77777777" w:rsidR="007F1F1C" w:rsidRPr="00EB56C3" w:rsidRDefault="007F1F1C" w:rsidP="00134F6A">
            <w:pPr>
              <w:jc w:val="center"/>
            </w:pPr>
            <w:r w:rsidRPr="00EB56C3">
              <w:t>CARES Act (third bill</w:t>
            </w:r>
            <w:r w:rsidR="00134F6A">
              <w:t xml:space="preserve"> – signed 3/27</w:t>
            </w:r>
            <w:r w:rsidRPr="00EB56C3">
              <w:t>)</w:t>
            </w:r>
          </w:p>
        </w:tc>
        <w:tc>
          <w:tcPr>
            <w:tcW w:w="1122" w:type="dxa"/>
            <w:tcBorders>
              <w:top w:val="nil"/>
              <w:left w:val="nil"/>
              <w:bottom w:val="single" w:sz="4" w:space="0" w:color="auto"/>
              <w:right w:val="single" w:sz="4" w:space="0" w:color="auto"/>
            </w:tcBorders>
            <w:shd w:val="clear" w:color="auto" w:fill="auto"/>
            <w:vAlign w:val="center"/>
            <w:hideMark/>
          </w:tcPr>
          <w:p w14:paraId="5C0579B6" w14:textId="77777777" w:rsidR="007F1F1C" w:rsidRPr="00EB56C3" w:rsidRDefault="007F1F1C" w:rsidP="00134F6A">
            <w:pPr>
              <w:jc w:val="center"/>
            </w:pPr>
            <w:r w:rsidRPr="00EB56C3">
              <w:t>Health center grantees</w:t>
            </w:r>
          </w:p>
        </w:tc>
        <w:tc>
          <w:tcPr>
            <w:tcW w:w="1026" w:type="dxa"/>
            <w:tcBorders>
              <w:top w:val="nil"/>
              <w:left w:val="nil"/>
              <w:bottom w:val="single" w:sz="4" w:space="0" w:color="auto"/>
              <w:right w:val="single" w:sz="4" w:space="0" w:color="auto"/>
            </w:tcBorders>
            <w:shd w:val="clear" w:color="auto" w:fill="auto"/>
            <w:vAlign w:val="center"/>
            <w:hideMark/>
          </w:tcPr>
          <w:p w14:paraId="591B2B5C" w14:textId="77777777" w:rsidR="007F1F1C" w:rsidRPr="00EB56C3" w:rsidRDefault="007F1F1C" w:rsidP="00134F6A">
            <w:pPr>
              <w:jc w:val="center"/>
            </w:pPr>
            <w:r w:rsidRPr="00EB56C3">
              <w:t>No</w:t>
            </w:r>
          </w:p>
        </w:tc>
        <w:tc>
          <w:tcPr>
            <w:tcW w:w="1368" w:type="dxa"/>
            <w:tcBorders>
              <w:top w:val="nil"/>
              <w:left w:val="nil"/>
              <w:bottom w:val="single" w:sz="4" w:space="0" w:color="auto"/>
              <w:right w:val="single" w:sz="4" w:space="0" w:color="auto"/>
            </w:tcBorders>
            <w:shd w:val="clear" w:color="auto" w:fill="auto"/>
            <w:vAlign w:val="center"/>
            <w:hideMark/>
          </w:tcPr>
          <w:p w14:paraId="025B4603" w14:textId="77777777" w:rsidR="007F1F1C" w:rsidRPr="00EB56C3" w:rsidRDefault="007F1F1C" w:rsidP="00134F6A">
            <w:pPr>
              <w:jc w:val="center"/>
            </w:pPr>
            <w:r w:rsidRPr="00EB56C3">
              <w:t>BPHC/ HRSA</w:t>
            </w:r>
          </w:p>
        </w:tc>
        <w:tc>
          <w:tcPr>
            <w:tcW w:w="2229" w:type="dxa"/>
            <w:tcBorders>
              <w:top w:val="nil"/>
              <w:left w:val="nil"/>
              <w:bottom w:val="single" w:sz="4" w:space="0" w:color="auto"/>
              <w:right w:val="single" w:sz="4" w:space="0" w:color="auto"/>
            </w:tcBorders>
            <w:shd w:val="clear" w:color="auto" w:fill="auto"/>
            <w:vAlign w:val="center"/>
            <w:hideMark/>
          </w:tcPr>
          <w:p w14:paraId="02998F8D" w14:textId="77777777" w:rsidR="007F1F1C" w:rsidRPr="00EB56C3" w:rsidRDefault="007F1F1C" w:rsidP="00134F6A">
            <w:pPr>
              <w:jc w:val="center"/>
            </w:pPr>
            <w:r w:rsidRPr="00EB56C3">
              <w:t>4/7 &amp; 4/8</w:t>
            </w:r>
          </w:p>
        </w:tc>
        <w:tc>
          <w:tcPr>
            <w:tcW w:w="3355" w:type="dxa"/>
            <w:tcBorders>
              <w:top w:val="nil"/>
              <w:left w:val="nil"/>
              <w:bottom w:val="single" w:sz="4" w:space="0" w:color="auto"/>
              <w:right w:val="nil"/>
            </w:tcBorders>
            <w:shd w:val="clear" w:color="auto" w:fill="auto"/>
            <w:vAlign w:val="center"/>
            <w:hideMark/>
          </w:tcPr>
          <w:p w14:paraId="5824B903" w14:textId="77777777" w:rsidR="007F1F1C" w:rsidRPr="00EB56C3" w:rsidRDefault="007F1F1C" w:rsidP="007F1F1C">
            <w:r w:rsidRPr="00EB56C3">
              <w:t xml:space="preserve">Substantial flexibility. To "support the detection and/or prevention, diagnosis, and treatment of COVID-19, including maintaining or increasing health center capacity and staffing levels" </w:t>
            </w:r>
          </w:p>
        </w:tc>
        <w:tc>
          <w:tcPr>
            <w:tcW w:w="2070" w:type="dxa"/>
            <w:tcBorders>
              <w:top w:val="nil"/>
              <w:left w:val="single" w:sz="4" w:space="0" w:color="auto"/>
              <w:bottom w:val="single" w:sz="4" w:space="0" w:color="auto"/>
              <w:right w:val="single" w:sz="4" w:space="0" w:color="auto"/>
            </w:tcBorders>
          </w:tcPr>
          <w:p w14:paraId="13DAA00C" w14:textId="77777777" w:rsidR="007F1F1C" w:rsidRPr="00EB56C3" w:rsidRDefault="007F1F1C" w:rsidP="007F1F1C">
            <w:r w:rsidRPr="00EB56C3">
              <w:t>BPHC formula: $503K base; $15 per patient; $30 per uninsured patient (using 2018 UDS.)</w:t>
            </w:r>
          </w:p>
        </w:tc>
      </w:tr>
      <w:tr w:rsidR="007F1F1C" w14:paraId="3F5CD806" w14:textId="77777777" w:rsidTr="00134F6A">
        <w:trPr>
          <w:trHeight w:val="1880"/>
        </w:trPr>
        <w:tc>
          <w:tcPr>
            <w:tcW w:w="1501" w:type="dxa"/>
            <w:tcBorders>
              <w:top w:val="nil"/>
              <w:left w:val="double" w:sz="6" w:space="0" w:color="auto"/>
              <w:bottom w:val="single" w:sz="4" w:space="0" w:color="auto"/>
              <w:right w:val="single" w:sz="4" w:space="0" w:color="auto"/>
            </w:tcBorders>
            <w:shd w:val="clear" w:color="auto" w:fill="auto"/>
            <w:vAlign w:val="center"/>
            <w:hideMark/>
          </w:tcPr>
          <w:p w14:paraId="78909E31" w14:textId="77777777" w:rsidR="007F1F1C" w:rsidRPr="00EB56C3" w:rsidRDefault="007F1F1C" w:rsidP="007F1F1C">
            <w:r w:rsidRPr="00EB56C3">
              <w:t xml:space="preserve">Remaining Section 330 mandatory funds for FY2020 - </w:t>
            </w:r>
            <w:r w:rsidRPr="00EB56C3">
              <w:rPr>
                <w:i/>
                <w:iCs/>
              </w:rPr>
              <w:t>not directly related to COVID-19</w:t>
            </w:r>
          </w:p>
        </w:tc>
        <w:tc>
          <w:tcPr>
            <w:tcW w:w="1084" w:type="dxa"/>
            <w:tcBorders>
              <w:top w:val="nil"/>
              <w:left w:val="nil"/>
              <w:bottom w:val="single" w:sz="4" w:space="0" w:color="auto"/>
              <w:right w:val="single" w:sz="4" w:space="0" w:color="auto"/>
            </w:tcBorders>
            <w:shd w:val="clear" w:color="auto" w:fill="auto"/>
            <w:vAlign w:val="center"/>
            <w:hideMark/>
          </w:tcPr>
          <w:p w14:paraId="5F11ADE4" w14:textId="77777777" w:rsidR="007F1F1C" w:rsidRPr="00EB56C3" w:rsidRDefault="007F1F1C" w:rsidP="00134F6A">
            <w:pPr>
              <w:jc w:val="center"/>
            </w:pPr>
            <w:r w:rsidRPr="00EB56C3">
              <w:t>CARES Act (third bill)</w:t>
            </w:r>
          </w:p>
        </w:tc>
        <w:tc>
          <w:tcPr>
            <w:tcW w:w="1122" w:type="dxa"/>
            <w:tcBorders>
              <w:top w:val="nil"/>
              <w:left w:val="nil"/>
              <w:bottom w:val="single" w:sz="4" w:space="0" w:color="auto"/>
              <w:right w:val="single" w:sz="4" w:space="0" w:color="auto"/>
            </w:tcBorders>
            <w:shd w:val="clear" w:color="auto" w:fill="auto"/>
            <w:vAlign w:val="center"/>
            <w:hideMark/>
          </w:tcPr>
          <w:p w14:paraId="4448F9D7" w14:textId="77777777" w:rsidR="007F1F1C" w:rsidRPr="00EB56C3" w:rsidRDefault="007F1F1C" w:rsidP="00134F6A">
            <w:pPr>
              <w:jc w:val="center"/>
            </w:pPr>
            <w:r w:rsidRPr="00EB56C3">
              <w:t>Health center grantees</w:t>
            </w:r>
          </w:p>
        </w:tc>
        <w:tc>
          <w:tcPr>
            <w:tcW w:w="1026" w:type="dxa"/>
            <w:tcBorders>
              <w:top w:val="nil"/>
              <w:left w:val="nil"/>
              <w:bottom w:val="single" w:sz="4" w:space="0" w:color="auto"/>
              <w:right w:val="single" w:sz="4" w:space="0" w:color="auto"/>
            </w:tcBorders>
            <w:shd w:val="clear" w:color="auto" w:fill="auto"/>
            <w:vAlign w:val="center"/>
            <w:hideMark/>
          </w:tcPr>
          <w:p w14:paraId="3EA58A2B" w14:textId="77777777" w:rsidR="007F1F1C" w:rsidRPr="00EB56C3" w:rsidRDefault="007F1F1C" w:rsidP="00134F6A">
            <w:pPr>
              <w:jc w:val="center"/>
            </w:pPr>
            <w:r w:rsidRPr="00EB56C3">
              <w:t>No</w:t>
            </w:r>
          </w:p>
        </w:tc>
        <w:tc>
          <w:tcPr>
            <w:tcW w:w="1368" w:type="dxa"/>
            <w:tcBorders>
              <w:top w:val="nil"/>
              <w:left w:val="nil"/>
              <w:bottom w:val="single" w:sz="4" w:space="0" w:color="auto"/>
              <w:right w:val="single" w:sz="4" w:space="0" w:color="auto"/>
            </w:tcBorders>
            <w:shd w:val="clear" w:color="auto" w:fill="auto"/>
            <w:vAlign w:val="center"/>
            <w:hideMark/>
          </w:tcPr>
          <w:p w14:paraId="6FB25E06" w14:textId="77777777" w:rsidR="007F1F1C" w:rsidRPr="00EB56C3" w:rsidRDefault="007F1F1C" w:rsidP="00134F6A">
            <w:pPr>
              <w:jc w:val="center"/>
            </w:pPr>
            <w:r w:rsidRPr="00EB56C3">
              <w:t>BPHC/</w:t>
            </w:r>
            <w:r>
              <w:t xml:space="preserve"> </w:t>
            </w:r>
            <w:r w:rsidRPr="00EB56C3">
              <w:t>HRSA</w:t>
            </w:r>
          </w:p>
        </w:tc>
        <w:tc>
          <w:tcPr>
            <w:tcW w:w="2229" w:type="dxa"/>
            <w:tcBorders>
              <w:top w:val="nil"/>
              <w:left w:val="nil"/>
              <w:bottom w:val="single" w:sz="4" w:space="0" w:color="auto"/>
              <w:right w:val="single" w:sz="4" w:space="0" w:color="auto"/>
            </w:tcBorders>
            <w:shd w:val="clear" w:color="auto" w:fill="auto"/>
            <w:vAlign w:val="center"/>
            <w:hideMark/>
          </w:tcPr>
          <w:p w14:paraId="28CDF42F" w14:textId="77777777" w:rsidR="007F1F1C" w:rsidRPr="00EB56C3" w:rsidRDefault="007F1F1C" w:rsidP="00134F6A">
            <w:pPr>
              <w:jc w:val="center"/>
            </w:pPr>
            <w:r w:rsidRPr="00EB56C3">
              <w:t>FQHCs whose budget periods start 5/1 &amp; 6/1 will get full 12 months of funding about 15 days in advance; others have received 9 months of funding so far, and will receive final 3 months' worth once HRSA can process NOAs.</w:t>
            </w:r>
          </w:p>
        </w:tc>
        <w:tc>
          <w:tcPr>
            <w:tcW w:w="3355" w:type="dxa"/>
            <w:tcBorders>
              <w:top w:val="nil"/>
              <w:left w:val="nil"/>
              <w:bottom w:val="single" w:sz="4" w:space="0" w:color="auto"/>
              <w:right w:val="nil"/>
            </w:tcBorders>
            <w:shd w:val="clear" w:color="auto" w:fill="auto"/>
            <w:vAlign w:val="center"/>
            <w:hideMark/>
          </w:tcPr>
          <w:p w14:paraId="001D670D" w14:textId="77777777" w:rsidR="007F1F1C" w:rsidRPr="00EB56C3" w:rsidRDefault="007F1F1C" w:rsidP="007F1F1C">
            <w:r w:rsidRPr="00EB56C3">
              <w:t>All allowable in-scope activities (funds are not directly tied to COVID-19)</w:t>
            </w:r>
          </w:p>
        </w:tc>
        <w:tc>
          <w:tcPr>
            <w:tcW w:w="2070" w:type="dxa"/>
            <w:tcBorders>
              <w:top w:val="nil"/>
              <w:left w:val="single" w:sz="4" w:space="0" w:color="auto"/>
              <w:bottom w:val="single" w:sz="4" w:space="0" w:color="auto"/>
              <w:right w:val="single" w:sz="4" w:space="0" w:color="auto"/>
            </w:tcBorders>
          </w:tcPr>
          <w:p w14:paraId="03070524" w14:textId="77777777" w:rsidR="007F1F1C" w:rsidRPr="00EB56C3" w:rsidRDefault="007F1F1C" w:rsidP="007F1F1C"/>
        </w:tc>
      </w:tr>
    </w:tbl>
    <w:p w14:paraId="67D82AE4" w14:textId="77777777" w:rsidR="006B4B89" w:rsidRPr="007F1F1C" w:rsidRDefault="00EB56C3" w:rsidP="007F1F1C">
      <w:pPr>
        <w:pStyle w:val="Heading1"/>
        <w:rPr>
          <w:rStyle w:val="Emphasis"/>
          <w:b/>
          <w:bCs/>
        </w:rPr>
      </w:pPr>
      <w:bookmarkStart w:id="17" w:name="_Toc37850319"/>
      <w:r w:rsidRPr="007F1F1C">
        <w:rPr>
          <w:rStyle w:val="Emphasis"/>
          <w:b/>
          <w:bCs/>
        </w:rPr>
        <w:lastRenderedPageBreak/>
        <w:t>Grant funding provided directly by HHS to Health Centers during the COVID-19 emergency</w:t>
      </w:r>
      <w:bookmarkEnd w:id="17"/>
    </w:p>
    <w:p w14:paraId="6AF26D1A" w14:textId="77777777" w:rsidR="00EB56C3" w:rsidRPr="000407A1" w:rsidRDefault="00EB56C3" w:rsidP="007F1F1C">
      <w:pPr>
        <w:jc w:val="center"/>
        <w:rPr>
          <w:i/>
          <w:iCs/>
          <w:sz w:val="28"/>
          <w:szCs w:val="28"/>
        </w:rPr>
      </w:pPr>
      <w:r w:rsidRPr="000407A1">
        <w:rPr>
          <w:i/>
          <w:iCs/>
          <w:sz w:val="28"/>
          <w:szCs w:val="28"/>
        </w:rPr>
        <w:t>As of April 1</w:t>
      </w:r>
      <w:r w:rsidR="00280B92">
        <w:rPr>
          <w:i/>
          <w:iCs/>
          <w:sz w:val="28"/>
          <w:szCs w:val="28"/>
        </w:rPr>
        <w:t>5</w:t>
      </w:r>
      <w:r w:rsidR="006B4B89" w:rsidRPr="000407A1">
        <w:rPr>
          <w:i/>
          <w:iCs/>
          <w:sz w:val="28"/>
          <w:szCs w:val="28"/>
        </w:rPr>
        <w:t>, page 2 of 2</w:t>
      </w:r>
    </w:p>
    <w:p w14:paraId="71507D72" w14:textId="77777777" w:rsidR="00EB56C3" w:rsidRDefault="00EB56C3" w:rsidP="007F1F1C"/>
    <w:tbl>
      <w:tblPr>
        <w:tblW w:w="13372" w:type="dxa"/>
        <w:tblInd w:w="-458" w:type="dxa"/>
        <w:tblLook w:val="04A0" w:firstRow="1" w:lastRow="0" w:firstColumn="1" w:lastColumn="0" w:noHBand="0" w:noVBand="1"/>
      </w:tblPr>
      <w:tblGrid>
        <w:gridCol w:w="1421"/>
        <w:gridCol w:w="1012"/>
        <w:gridCol w:w="1199"/>
        <w:gridCol w:w="1026"/>
        <w:gridCol w:w="1368"/>
        <w:gridCol w:w="2014"/>
        <w:gridCol w:w="1615"/>
        <w:gridCol w:w="2045"/>
        <w:gridCol w:w="1672"/>
      </w:tblGrid>
      <w:tr w:rsidR="00ED0663" w:rsidRPr="00EB56C3" w14:paraId="70846D82" w14:textId="77777777" w:rsidTr="001C09E1">
        <w:trPr>
          <w:trHeight w:val="900"/>
        </w:trPr>
        <w:tc>
          <w:tcPr>
            <w:tcW w:w="1454" w:type="dxa"/>
            <w:tcBorders>
              <w:top w:val="double" w:sz="6" w:space="0" w:color="auto"/>
              <w:left w:val="double" w:sz="6" w:space="0" w:color="auto"/>
              <w:bottom w:val="double" w:sz="6" w:space="0" w:color="auto"/>
              <w:right w:val="single" w:sz="4" w:space="0" w:color="auto"/>
            </w:tcBorders>
            <w:shd w:val="clear" w:color="auto" w:fill="D0CECE" w:themeFill="background2" w:themeFillShade="E6"/>
            <w:vAlign w:val="center"/>
            <w:hideMark/>
          </w:tcPr>
          <w:p w14:paraId="37E97A1F" w14:textId="77777777" w:rsidR="00ED0663" w:rsidRPr="00EB56C3" w:rsidRDefault="00ED0663" w:rsidP="007F1F1C">
            <w:r w:rsidRPr="00EB56C3">
              <w:t>Amount</w:t>
            </w:r>
          </w:p>
        </w:tc>
        <w:tc>
          <w:tcPr>
            <w:tcW w:w="1032" w:type="dxa"/>
            <w:tcBorders>
              <w:top w:val="double" w:sz="6" w:space="0" w:color="auto"/>
              <w:left w:val="nil"/>
              <w:bottom w:val="double" w:sz="6" w:space="0" w:color="auto"/>
              <w:right w:val="single" w:sz="4" w:space="0" w:color="auto"/>
            </w:tcBorders>
            <w:shd w:val="clear" w:color="auto" w:fill="D0CECE" w:themeFill="background2" w:themeFillShade="E6"/>
            <w:vAlign w:val="center"/>
            <w:hideMark/>
          </w:tcPr>
          <w:p w14:paraId="12FECCE8" w14:textId="77777777" w:rsidR="00ED0663" w:rsidRPr="00EB56C3" w:rsidRDefault="00ED0663" w:rsidP="007F1F1C">
            <w:r w:rsidRPr="00EB56C3">
              <w:t xml:space="preserve">Estab-lished </w:t>
            </w:r>
          </w:p>
        </w:tc>
        <w:tc>
          <w:tcPr>
            <w:tcW w:w="1131" w:type="dxa"/>
            <w:tcBorders>
              <w:top w:val="double" w:sz="6" w:space="0" w:color="auto"/>
              <w:left w:val="nil"/>
              <w:bottom w:val="double" w:sz="6" w:space="0" w:color="auto"/>
              <w:right w:val="single" w:sz="4" w:space="0" w:color="auto"/>
            </w:tcBorders>
            <w:shd w:val="clear" w:color="auto" w:fill="D0CECE" w:themeFill="background2" w:themeFillShade="E6"/>
            <w:vAlign w:val="center"/>
            <w:hideMark/>
          </w:tcPr>
          <w:p w14:paraId="5407AB5C" w14:textId="77777777" w:rsidR="00ED0663" w:rsidRPr="00EB56C3" w:rsidRDefault="00ED0663" w:rsidP="007F1F1C">
            <w:r w:rsidRPr="00EB56C3">
              <w:t>Who is eligible?</w:t>
            </w:r>
          </w:p>
        </w:tc>
        <w:tc>
          <w:tcPr>
            <w:tcW w:w="978" w:type="dxa"/>
            <w:tcBorders>
              <w:top w:val="double" w:sz="6" w:space="0" w:color="auto"/>
              <w:left w:val="nil"/>
              <w:bottom w:val="double" w:sz="6" w:space="0" w:color="auto"/>
              <w:right w:val="single" w:sz="4" w:space="0" w:color="auto"/>
            </w:tcBorders>
            <w:shd w:val="clear" w:color="auto" w:fill="D0CECE" w:themeFill="background2" w:themeFillShade="E6"/>
            <w:vAlign w:val="center"/>
            <w:hideMark/>
          </w:tcPr>
          <w:p w14:paraId="4545C269" w14:textId="77777777" w:rsidR="00ED0663" w:rsidRPr="00EB56C3" w:rsidRDefault="00ED0663" w:rsidP="007F1F1C">
            <w:r w:rsidRPr="00EB56C3">
              <w:t>LALs eligible?</w:t>
            </w:r>
          </w:p>
        </w:tc>
        <w:tc>
          <w:tcPr>
            <w:tcW w:w="1298" w:type="dxa"/>
            <w:tcBorders>
              <w:top w:val="double" w:sz="6" w:space="0" w:color="auto"/>
              <w:left w:val="nil"/>
              <w:bottom w:val="double" w:sz="6" w:space="0" w:color="auto"/>
              <w:right w:val="single" w:sz="4" w:space="0" w:color="auto"/>
            </w:tcBorders>
            <w:shd w:val="clear" w:color="auto" w:fill="D0CECE" w:themeFill="background2" w:themeFillShade="E6"/>
            <w:vAlign w:val="center"/>
            <w:hideMark/>
          </w:tcPr>
          <w:p w14:paraId="204015C1" w14:textId="77777777" w:rsidR="00ED0663" w:rsidRPr="00EB56C3" w:rsidRDefault="00ED0663" w:rsidP="007F1F1C">
            <w:r w:rsidRPr="00EB56C3">
              <w:t>Who distributes?</w:t>
            </w:r>
          </w:p>
        </w:tc>
        <w:tc>
          <w:tcPr>
            <w:tcW w:w="2053" w:type="dxa"/>
            <w:tcBorders>
              <w:top w:val="double" w:sz="6" w:space="0" w:color="auto"/>
              <w:left w:val="nil"/>
              <w:bottom w:val="double" w:sz="6" w:space="0" w:color="auto"/>
              <w:right w:val="single" w:sz="4" w:space="0" w:color="auto"/>
            </w:tcBorders>
            <w:shd w:val="clear" w:color="auto" w:fill="D0CECE" w:themeFill="background2" w:themeFillShade="E6"/>
            <w:vAlign w:val="center"/>
            <w:hideMark/>
          </w:tcPr>
          <w:p w14:paraId="558F5E42" w14:textId="77777777" w:rsidR="00ED0663" w:rsidRPr="00EB56C3" w:rsidRDefault="00ED0663" w:rsidP="007F1F1C">
            <w:r w:rsidRPr="00EB56C3">
              <w:t>Date distributed</w:t>
            </w:r>
          </w:p>
        </w:tc>
        <w:tc>
          <w:tcPr>
            <w:tcW w:w="1631" w:type="dxa"/>
            <w:tcBorders>
              <w:top w:val="double" w:sz="6" w:space="0" w:color="auto"/>
              <w:left w:val="nil"/>
              <w:bottom w:val="double" w:sz="6" w:space="0" w:color="auto"/>
              <w:right w:val="nil"/>
            </w:tcBorders>
            <w:shd w:val="clear" w:color="auto" w:fill="D0CECE" w:themeFill="background2" w:themeFillShade="E6"/>
            <w:vAlign w:val="center"/>
            <w:hideMark/>
          </w:tcPr>
          <w:p w14:paraId="781FFF50" w14:textId="77777777" w:rsidR="00ED0663" w:rsidRPr="00EB56C3" w:rsidRDefault="00ED0663" w:rsidP="007F1F1C">
            <w:r w:rsidRPr="00EB56C3">
              <w:t>Allowable Uses</w:t>
            </w:r>
          </w:p>
        </w:tc>
        <w:tc>
          <w:tcPr>
            <w:tcW w:w="2108" w:type="dxa"/>
            <w:tcBorders>
              <w:top w:val="double" w:sz="6" w:space="0" w:color="auto"/>
              <w:left w:val="single" w:sz="4" w:space="0" w:color="auto"/>
              <w:bottom w:val="double" w:sz="6" w:space="0" w:color="auto"/>
              <w:right w:val="single" w:sz="4" w:space="0" w:color="auto"/>
            </w:tcBorders>
            <w:shd w:val="clear" w:color="auto" w:fill="D0CECE" w:themeFill="background2" w:themeFillShade="E6"/>
          </w:tcPr>
          <w:p w14:paraId="7E928B22" w14:textId="77777777" w:rsidR="00ED0663" w:rsidRDefault="00ED0663" w:rsidP="007F1F1C"/>
          <w:p w14:paraId="56F086EB" w14:textId="77777777" w:rsidR="00ED0663" w:rsidRPr="00EB56C3" w:rsidRDefault="00ED0663" w:rsidP="007F1F1C">
            <w:r w:rsidRPr="00EB56C3">
              <w:t>Other</w:t>
            </w:r>
          </w:p>
        </w:tc>
        <w:tc>
          <w:tcPr>
            <w:tcW w:w="1687" w:type="dxa"/>
            <w:tcBorders>
              <w:top w:val="double" w:sz="6" w:space="0" w:color="auto"/>
              <w:left w:val="single" w:sz="4" w:space="0" w:color="auto"/>
              <w:bottom w:val="double" w:sz="6" w:space="0" w:color="auto"/>
              <w:right w:val="double" w:sz="6" w:space="0" w:color="auto"/>
            </w:tcBorders>
            <w:shd w:val="clear" w:color="auto" w:fill="D0CECE" w:themeFill="background2" w:themeFillShade="E6"/>
            <w:vAlign w:val="center"/>
          </w:tcPr>
          <w:p w14:paraId="6474D10B" w14:textId="77777777" w:rsidR="00ED0663" w:rsidRPr="00EB56C3" w:rsidRDefault="00ED0663" w:rsidP="007F1F1C">
            <w:r>
              <w:t>For more info</w:t>
            </w:r>
          </w:p>
        </w:tc>
      </w:tr>
      <w:tr w:rsidR="00ED0663" w:rsidRPr="00EB56C3" w14:paraId="2B8C6458" w14:textId="77777777" w:rsidTr="001C09E1">
        <w:trPr>
          <w:trHeight w:val="1890"/>
        </w:trPr>
        <w:tc>
          <w:tcPr>
            <w:tcW w:w="1454" w:type="dxa"/>
            <w:tcBorders>
              <w:top w:val="nil"/>
              <w:left w:val="double" w:sz="6" w:space="0" w:color="auto"/>
              <w:bottom w:val="single" w:sz="4" w:space="0" w:color="auto"/>
              <w:right w:val="single" w:sz="4" w:space="0" w:color="auto"/>
            </w:tcBorders>
            <w:shd w:val="clear" w:color="auto" w:fill="auto"/>
            <w:vAlign w:val="center"/>
            <w:hideMark/>
          </w:tcPr>
          <w:p w14:paraId="2369FE41" w14:textId="77777777" w:rsidR="00ED0663" w:rsidRPr="00ED0663" w:rsidRDefault="00ED0663" w:rsidP="007F1F1C">
            <w:r w:rsidRPr="00ED0663">
              <w:t>Portion of $100 Billion for health care providers</w:t>
            </w:r>
          </w:p>
        </w:tc>
        <w:tc>
          <w:tcPr>
            <w:tcW w:w="1032" w:type="dxa"/>
            <w:tcBorders>
              <w:top w:val="nil"/>
              <w:left w:val="nil"/>
              <w:bottom w:val="single" w:sz="4" w:space="0" w:color="auto"/>
              <w:right w:val="single" w:sz="4" w:space="0" w:color="auto"/>
            </w:tcBorders>
            <w:shd w:val="clear" w:color="auto" w:fill="auto"/>
            <w:vAlign w:val="center"/>
            <w:hideMark/>
          </w:tcPr>
          <w:p w14:paraId="344BB7FD" w14:textId="77777777" w:rsidR="00ED0663" w:rsidRPr="00ED0663" w:rsidRDefault="00ED0663" w:rsidP="007F1F1C">
            <w:r w:rsidRPr="00ED0663">
              <w:t>CARES Act (third bill)</w:t>
            </w:r>
          </w:p>
        </w:tc>
        <w:tc>
          <w:tcPr>
            <w:tcW w:w="1131" w:type="dxa"/>
            <w:tcBorders>
              <w:top w:val="nil"/>
              <w:left w:val="nil"/>
              <w:bottom w:val="single" w:sz="4" w:space="0" w:color="auto"/>
              <w:right w:val="single" w:sz="4" w:space="0" w:color="auto"/>
            </w:tcBorders>
            <w:shd w:val="clear" w:color="auto" w:fill="auto"/>
            <w:vAlign w:val="center"/>
            <w:hideMark/>
          </w:tcPr>
          <w:p w14:paraId="57DE3D79" w14:textId="77777777" w:rsidR="00ED0663" w:rsidRPr="00ED0663" w:rsidRDefault="00ED0663" w:rsidP="007F1F1C">
            <w:r w:rsidRPr="00ED0663">
              <w:t>All providers</w:t>
            </w:r>
            <w:r w:rsidR="001E3B22">
              <w:t>,</w:t>
            </w:r>
            <w:r w:rsidRPr="00ED0663">
              <w:t xml:space="preserve"> including hospitals &amp; for-profits</w:t>
            </w:r>
          </w:p>
        </w:tc>
        <w:tc>
          <w:tcPr>
            <w:tcW w:w="978" w:type="dxa"/>
            <w:tcBorders>
              <w:top w:val="nil"/>
              <w:left w:val="nil"/>
              <w:bottom w:val="single" w:sz="4" w:space="0" w:color="auto"/>
              <w:right w:val="single" w:sz="4" w:space="0" w:color="auto"/>
            </w:tcBorders>
            <w:shd w:val="clear" w:color="auto" w:fill="auto"/>
            <w:vAlign w:val="center"/>
            <w:hideMark/>
          </w:tcPr>
          <w:p w14:paraId="03E93FA0" w14:textId="77777777" w:rsidR="00ED0663" w:rsidRPr="00ED0663" w:rsidRDefault="00ED0663" w:rsidP="007F1F1C">
            <w:r w:rsidRPr="00ED0663">
              <w:t>Yes</w:t>
            </w:r>
          </w:p>
        </w:tc>
        <w:tc>
          <w:tcPr>
            <w:tcW w:w="1298" w:type="dxa"/>
            <w:tcBorders>
              <w:top w:val="nil"/>
              <w:left w:val="nil"/>
              <w:bottom w:val="single" w:sz="4" w:space="0" w:color="auto"/>
              <w:right w:val="single" w:sz="4" w:space="0" w:color="auto"/>
            </w:tcBorders>
            <w:shd w:val="clear" w:color="auto" w:fill="auto"/>
            <w:vAlign w:val="center"/>
            <w:hideMark/>
          </w:tcPr>
          <w:p w14:paraId="263A897C" w14:textId="77777777" w:rsidR="00ED0663" w:rsidRPr="00ED0663" w:rsidRDefault="00ED0663" w:rsidP="007F1F1C">
            <w:r w:rsidRPr="00ED0663">
              <w:t>HRSA has the lead.  United Health distributed the first $30 billion</w:t>
            </w:r>
          </w:p>
        </w:tc>
        <w:tc>
          <w:tcPr>
            <w:tcW w:w="2053" w:type="dxa"/>
            <w:tcBorders>
              <w:top w:val="nil"/>
              <w:left w:val="nil"/>
              <w:bottom w:val="single" w:sz="4" w:space="0" w:color="auto"/>
              <w:right w:val="single" w:sz="4" w:space="0" w:color="auto"/>
            </w:tcBorders>
            <w:shd w:val="clear" w:color="auto" w:fill="auto"/>
            <w:vAlign w:val="center"/>
            <w:hideMark/>
          </w:tcPr>
          <w:p w14:paraId="2EB921E8" w14:textId="77777777" w:rsidR="00ED0663" w:rsidRPr="00ED0663" w:rsidRDefault="00ED0663" w:rsidP="007F1F1C">
            <w:r w:rsidRPr="00ED0663">
              <w:t xml:space="preserve">First $30B distributed on 4/10 based on each providers' 2019 Medicare FFS claims.  HHS says future installments will focus on providers who are: heavily-impacted; rural; low Medicare FFS; </w:t>
            </w:r>
            <w:r w:rsidRPr="00ED0663">
              <w:rPr>
                <w:b/>
                <w:bCs/>
                <w:i/>
                <w:iCs/>
              </w:rPr>
              <w:t>predominantly serve Medicaid populations; and care for uninsured.</w:t>
            </w:r>
          </w:p>
        </w:tc>
        <w:tc>
          <w:tcPr>
            <w:tcW w:w="1631" w:type="dxa"/>
            <w:tcBorders>
              <w:top w:val="nil"/>
              <w:left w:val="nil"/>
              <w:bottom w:val="single" w:sz="4" w:space="0" w:color="auto"/>
              <w:right w:val="nil"/>
            </w:tcBorders>
            <w:shd w:val="clear" w:color="auto" w:fill="auto"/>
            <w:vAlign w:val="center"/>
            <w:hideMark/>
          </w:tcPr>
          <w:p w14:paraId="0F567C2E" w14:textId="77777777" w:rsidR="00ED0663" w:rsidRPr="00ED0663" w:rsidRDefault="00ED0663" w:rsidP="007F1F1C">
            <w:r w:rsidRPr="00ED0663">
              <w:t>Per the statute, may be used "for health care related expenses or lost revenue that are attributable to" COVID-19.  Additional guidance forthcoming.</w:t>
            </w:r>
          </w:p>
        </w:tc>
        <w:tc>
          <w:tcPr>
            <w:tcW w:w="2108" w:type="dxa"/>
            <w:tcBorders>
              <w:top w:val="nil"/>
              <w:left w:val="single" w:sz="4" w:space="0" w:color="auto"/>
              <w:bottom w:val="single" w:sz="4" w:space="0" w:color="auto"/>
              <w:right w:val="single" w:sz="4" w:space="0" w:color="auto"/>
            </w:tcBorders>
          </w:tcPr>
          <w:p w14:paraId="03E69B59" w14:textId="77777777" w:rsidR="00ED0663" w:rsidRPr="00ED0663" w:rsidRDefault="00853E31" w:rsidP="007F1F1C">
            <w:hyperlink r:id="rId10" w:history="1">
              <w:r w:rsidR="001E3B22" w:rsidRPr="001E3B22">
                <w:rPr>
                  <w:rStyle w:val="Hyperlink"/>
                  <w:sz w:val="22"/>
                  <w:szCs w:val="22"/>
                </w:rPr>
                <w:t>NACHC wrote HHS</w:t>
              </w:r>
            </w:hyperlink>
            <w:r w:rsidR="001E3B22">
              <w:t xml:space="preserve"> </w:t>
            </w:r>
            <w:r w:rsidR="00ED0663" w:rsidRPr="00ED0663">
              <w:t>on 4/3 re: amount of funds to FQHCs; requested extra 20% for LALs, FQHCs in "hot spots", and those with over 500 employees.  Writing 4/14 re: need to prioritize funding to providers serving underserved, uninsured, and Medicaid patients.</w:t>
            </w:r>
          </w:p>
        </w:tc>
        <w:tc>
          <w:tcPr>
            <w:tcW w:w="1687" w:type="dxa"/>
            <w:tcBorders>
              <w:top w:val="nil"/>
              <w:left w:val="single" w:sz="4" w:space="0" w:color="auto"/>
              <w:bottom w:val="single" w:sz="4" w:space="0" w:color="auto"/>
              <w:right w:val="double" w:sz="6" w:space="0" w:color="auto"/>
            </w:tcBorders>
            <w:shd w:val="clear" w:color="auto" w:fill="auto"/>
            <w:vAlign w:val="center"/>
          </w:tcPr>
          <w:p w14:paraId="40E2665F" w14:textId="77777777" w:rsidR="00DB71EB" w:rsidRDefault="00DB71EB" w:rsidP="007F1F1C">
            <w:r>
              <w:t>See</w:t>
            </w:r>
            <w:r w:rsidR="001C09E1">
              <w:t xml:space="preserve"> next page, </w:t>
            </w:r>
            <w:r>
              <w:t xml:space="preserve"> </w:t>
            </w:r>
            <w:hyperlink r:id="rId11" w:history="1">
              <w:r w:rsidRPr="00DB71EB">
                <w:rPr>
                  <w:rStyle w:val="Hyperlink"/>
                  <w:sz w:val="22"/>
                  <w:szCs w:val="22"/>
                </w:rPr>
                <w:t>HHS CARES Provider Relief Fund</w:t>
              </w:r>
            </w:hyperlink>
            <w:r w:rsidR="001C09E1">
              <w:t xml:space="preserve"> </w:t>
            </w:r>
            <w:r>
              <w:t>and</w:t>
            </w:r>
          </w:p>
          <w:p w14:paraId="487E1776" w14:textId="77777777" w:rsidR="001E3B22" w:rsidRPr="001E3B22" w:rsidRDefault="00853E31" w:rsidP="007F1F1C">
            <w:hyperlink r:id="rId12" w:history="1">
              <w:r w:rsidR="001E3B22" w:rsidRPr="001E3B22">
                <w:rPr>
                  <w:rStyle w:val="Hyperlink"/>
                  <w:sz w:val="22"/>
                  <w:szCs w:val="22"/>
                </w:rPr>
                <w:t>HHS Terms &amp; Conditions</w:t>
              </w:r>
            </w:hyperlink>
            <w:r w:rsidR="007B3F67">
              <w:t xml:space="preserve">  Note that standard rules for HHS grants apply; also, reporting requirements forthcoming</w:t>
            </w:r>
          </w:p>
          <w:p w14:paraId="2856F89D" w14:textId="77777777" w:rsidR="00ED0663" w:rsidRPr="001E3B22" w:rsidRDefault="00ED0663" w:rsidP="007F1F1C"/>
        </w:tc>
      </w:tr>
    </w:tbl>
    <w:p w14:paraId="43F25E7B" w14:textId="77777777" w:rsidR="005E552A" w:rsidRDefault="005E552A" w:rsidP="007F1F1C"/>
    <w:p w14:paraId="441F7EB5" w14:textId="77777777" w:rsidR="005E552A" w:rsidRDefault="005E552A" w:rsidP="007F1F1C">
      <w:pPr>
        <w:rPr>
          <w:rFonts w:ascii="Calibri" w:eastAsia="Calibri" w:hAnsi="Calibri" w:cs="Calibri"/>
          <w:sz w:val="28"/>
          <w:szCs w:val="28"/>
        </w:rPr>
      </w:pPr>
      <w:r>
        <w:br w:type="page"/>
      </w:r>
    </w:p>
    <w:p w14:paraId="074CC06C" w14:textId="77777777" w:rsidR="002D12C4" w:rsidRDefault="002D12C4" w:rsidP="002D12C4">
      <w:pPr>
        <w:pStyle w:val="Heading1"/>
      </w:pPr>
      <w:bookmarkStart w:id="18" w:name="_Hlk37858646"/>
      <w:bookmarkStart w:id="19" w:name="_Hlk37858645"/>
      <w:r>
        <w:lastRenderedPageBreak/>
        <w:t xml:space="preserve">BPHC </w:t>
      </w:r>
      <w:r w:rsidRPr="00BC3ABA">
        <w:t xml:space="preserve">Grant </w:t>
      </w:r>
      <w:r>
        <w:t>F</w:t>
      </w:r>
      <w:r w:rsidRPr="00BC3ABA">
        <w:t>unding during the COVID-19 emergency</w:t>
      </w:r>
      <w:bookmarkEnd w:id="18"/>
    </w:p>
    <w:bookmarkEnd w:id="19"/>
    <w:p w14:paraId="267E9A78" w14:textId="77777777" w:rsidR="005C659E" w:rsidRPr="005C659E" w:rsidRDefault="005C659E" w:rsidP="005C659E"/>
    <w:p w14:paraId="61F8C003" w14:textId="77777777" w:rsidR="00E3595C" w:rsidRPr="00E3595C" w:rsidRDefault="00E3595C" w:rsidP="007F1F1C">
      <w:r w:rsidRPr="00E3595C">
        <w:t xml:space="preserve">The following are highlights from the official </w:t>
      </w:r>
      <w:hyperlink r:id="rId13" w:anchor="covid-19" w:history="1">
        <w:r w:rsidRPr="004E57AA">
          <w:rPr>
            <w:rStyle w:val="Hyperlink"/>
            <w:sz w:val="22"/>
            <w:szCs w:val="22"/>
          </w:rPr>
          <w:t>BPHC FAQs</w:t>
        </w:r>
      </w:hyperlink>
      <w:r w:rsidRPr="00E3595C">
        <w:rPr>
          <w:rStyle w:val="Hyperlink"/>
          <w:sz w:val="22"/>
          <w:szCs w:val="22"/>
          <w:u w:val="none"/>
        </w:rPr>
        <w:t xml:space="preserve"> </w:t>
      </w:r>
      <w:r w:rsidRPr="00E3595C">
        <w:t xml:space="preserve">related to this funding:  </w:t>
      </w:r>
    </w:p>
    <w:p w14:paraId="1EEB2BCD" w14:textId="77777777" w:rsidR="00A73C79" w:rsidRPr="007F1F1C" w:rsidRDefault="00A73C79" w:rsidP="007F1F1C">
      <w:pPr>
        <w:pStyle w:val="NormalWeb"/>
        <w:rPr>
          <w:rStyle w:val="Strong"/>
          <w:b w:val="0"/>
          <w:bCs w:val="0"/>
          <w:i/>
          <w:iCs/>
          <w:color w:val="000000"/>
          <w:u w:val="single"/>
          <w:bdr w:val="none" w:sz="0" w:space="0" w:color="auto" w:frame="1"/>
        </w:rPr>
      </w:pPr>
      <w:r w:rsidRPr="001D72DA">
        <w:rPr>
          <w:rStyle w:val="Strong"/>
          <w:b w:val="0"/>
          <w:bCs w:val="0"/>
          <w:i/>
          <w:iCs/>
          <w:color w:val="000000"/>
          <w:u w:val="single"/>
          <w:bdr w:val="none" w:sz="0" w:space="0" w:color="auto" w:frame="1"/>
        </w:rPr>
        <w:t>What grant funding has BPHC provided directly to health center grantees specific to COVID-19?</w:t>
      </w:r>
      <w:r w:rsidR="007F1F1C">
        <w:rPr>
          <w:rStyle w:val="Strong"/>
          <w:b w:val="0"/>
          <w:bCs w:val="0"/>
          <w:color w:val="000000"/>
          <w:bdr w:val="none" w:sz="0" w:space="0" w:color="auto" w:frame="1"/>
        </w:rPr>
        <w:t xml:space="preserve">  </w:t>
      </w:r>
      <w:r w:rsidR="004E57AA" w:rsidRPr="001D72DA">
        <w:rPr>
          <w:rStyle w:val="Strong"/>
          <w:b w:val="0"/>
          <w:bCs w:val="0"/>
          <w:color w:val="000000"/>
          <w:bdr w:val="none" w:sz="0" w:space="0" w:color="auto" w:frame="1"/>
        </w:rPr>
        <w:t>Two laws passed in March 2020</w:t>
      </w:r>
      <w:r w:rsidR="004E57AA" w:rsidRPr="001D72DA">
        <w:t xml:space="preserve"> </w:t>
      </w:r>
      <w:r w:rsidRPr="001D72DA">
        <w:rPr>
          <w:rStyle w:val="Strong"/>
          <w:b w:val="0"/>
          <w:bCs w:val="0"/>
          <w:color w:val="000000"/>
          <w:bdr w:val="none" w:sz="0" w:space="0" w:color="auto" w:frame="1"/>
        </w:rPr>
        <w:t xml:space="preserve">provided funding </w:t>
      </w:r>
      <w:r w:rsidR="00D91555" w:rsidRPr="001D72DA">
        <w:rPr>
          <w:rStyle w:val="Strong"/>
          <w:b w:val="0"/>
          <w:bCs w:val="0"/>
          <w:color w:val="000000"/>
          <w:bdr w:val="none" w:sz="0" w:space="0" w:color="auto" w:frame="1"/>
        </w:rPr>
        <w:t xml:space="preserve">specifically </w:t>
      </w:r>
      <w:r w:rsidR="004E57AA" w:rsidRPr="001D72DA">
        <w:rPr>
          <w:rStyle w:val="Strong"/>
          <w:b w:val="0"/>
          <w:bCs w:val="0"/>
          <w:color w:val="000000"/>
          <w:bdr w:val="none" w:sz="0" w:space="0" w:color="auto" w:frame="1"/>
        </w:rPr>
        <w:t xml:space="preserve">for health center grantees to address COVID-19.  The </w:t>
      </w:r>
      <w:hyperlink r:id="rId14" w:history="1">
        <w:r w:rsidR="004E57AA" w:rsidRPr="001D72DA">
          <w:rPr>
            <w:rStyle w:val="Hyperlink"/>
            <w:bdr w:val="none" w:sz="0" w:space="0" w:color="auto" w:frame="1"/>
          </w:rPr>
          <w:t>Coronavirus Preparedness and Response Supplemental Appropriations Act, 2020</w:t>
        </w:r>
      </w:hyperlink>
      <w:r w:rsidR="004E57AA" w:rsidRPr="001D72DA">
        <w:t xml:space="preserve">, signed on March 4, provided $100 million; the </w:t>
      </w:r>
      <w:hyperlink r:id="rId15" w:history="1">
        <w:r w:rsidR="00D91555" w:rsidRPr="001D72DA">
          <w:rPr>
            <w:rStyle w:val="Hyperlink"/>
            <w:bdr w:val="none" w:sz="0" w:space="0" w:color="auto" w:frame="1"/>
          </w:rPr>
          <w:t>Coronavirus Aid, Relief, and Economic Security Act</w:t>
        </w:r>
      </w:hyperlink>
      <w:r w:rsidR="00D91555" w:rsidRPr="001D72DA">
        <w:t xml:space="preserve"> (</w:t>
      </w:r>
      <w:r w:rsidR="004E57AA" w:rsidRPr="001D72DA">
        <w:t>CARES</w:t>
      </w:r>
      <w:r w:rsidR="00D91555" w:rsidRPr="001D72DA">
        <w:t>)</w:t>
      </w:r>
      <w:r w:rsidR="004E57AA" w:rsidRPr="001D72DA">
        <w:t xml:space="preserve"> Act, signed on March 27, provided $1.32 billion.  </w:t>
      </w:r>
    </w:p>
    <w:p w14:paraId="3EFC22DA" w14:textId="77777777" w:rsidR="007F1F1C" w:rsidRPr="00653BFD" w:rsidRDefault="00F00B7E" w:rsidP="007F1F1C">
      <w:pPr>
        <w:pStyle w:val="NormalWeb"/>
        <w:spacing w:after="0" w:afterAutospacing="0"/>
      </w:pPr>
      <w:r w:rsidRPr="001D72DA">
        <w:rPr>
          <w:i/>
          <w:iCs/>
          <w:u w:val="single"/>
        </w:rPr>
        <w:t xml:space="preserve">When </w:t>
      </w:r>
      <w:r w:rsidR="00D91555" w:rsidRPr="001D72DA">
        <w:rPr>
          <w:i/>
          <w:iCs/>
          <w:u w:val="single"/>
        </w:rPr>
        <w:t xml:space="preserve">and how </w:t>
      </w:r>
      <w:r w:rsidRPr="001D72DA">
        <w:rPr>
          <w:i/>
          <w:iCs/>
          <w:u w:val="single"/>
        </w:rPr>
        <w:t>was th</w:t>
      </w:r>
      <w:r w:rsidR="00D91555" w:rsidRPr="001D72DA">
        <w:rPr>
          <w:i/>
          <w:iCs/>
          <w:u w:val="single"/>
        </w:rPr>
        <w:t xml:space="preserve">is </w:t>
      </w:r>
      <w:r w:rsidRPr="001D72DA">
        <w:rPr>
          <w:i/>
          <w:iCs/>
          <w:u w:val="single"/>
        </w:rPr>
        <w:t>funding provided</w:t>
      </w:r>
      <w:r w:rsidR="00D91555" w:rsidRPr="001D72DA">
        <w:rPr>
          <w:i/>
          <w:iCs/>
          <w:u w:val="single"/>
        </w:rPr>
        <w:t xml:space="preserve"> to grantees</w:t>
      </w:r>
      <w:r w:rsidRPr="001D72DA">
        <w:rPr>
          <w:i/>
          <w:iCs/>
          <w:u w:val="single"/>
        </w:rPr>
        <w:t>?</w:t>
      </w:r>
      <w:r w:rsidRPr="001D72DA">
        <w:t xml:space="preserve"> </w:t>
      </w:r>
      <w:r w:rsidR="00D91555" w:rsidRPr="001D72DA">
        <w:t xml:space="preserve"> </w:t>
      </w:r>
      <w:r w:rsidRPr="001D72DA">
        <w:t>BPHC announced the</w:t>
      </w:r>
      <w:r w:rsidR="00D91555" w:rsidRPr="001D72DA">
        <w:t xml:space="preserve"> first set of awards (totaling $100 million) on </w:t>
      </w:r>
      <w:r w:rsidRPr="001D72DA">
        <w:t xml:space="preserve">March 24.  </w:t>
      </w:r>
      <w:r w:rsidR="007F1F1C" w:rsidRPr="00653BFD">
        <w:t>Awards ranged from approximately $50,000 to more than $300,000, with an average of approximately $70,000 per health center.</w:t>
      </w:r>
    </w:p>
    <w:p w14:paraId="69D1D4B1" w14:textId="77777777" w:rsidR="00E3595C" w:rsidRPr="00653BFD" w:rsidRDefault="00D91555" w:rsidP="007F1F1C">
      <w:pPr>
        <w:pStyle w:val="NormalWeb"/>
        <w:spacing w:before="0" w:beforeAutospacing="0" w:after="0" w:afterAutospacing="0"/>
      </w:pPr>
      <w:r w:rsidRPr="00653BFD">
        <w:t xml:space="preserve">Individual awards amounts were calculated using the </w:t>
      </w:r>
      <w:r w:rsidR="00E3595C" w:rsidRPr="00653BFD">
        <w:t>following formula:</w:t>
      </w:r>
    </w:p>
    <w:p w14:paraId="31D97FCA" w14:textId="77777777" w:rsidR="001D72DA" w:rsidRPr="00653BFD" w:rsidRDefault="00E3595C" w:rsidP="007F1F1C">
      <w:pPr>
        <w:pStyle w:val="ListParagraph"/>
        <w:numPr>
          <w:ilvl w:val="0"/>
          <w:numId w:val="33"/>
        </w:numPr>
        <w:spacing w:after="0"/>
        <w:rPr>
          <w:sz w:val="24"/>
          <w:szCs w:val="24"/>
        </w:rPr>
      </w:pPr>
      <w:r w:rsidRPr="00653BFD">
        <w:rPr>
          <w:sz w:val="24"/>
          <w:szCs w:val="24"/>
        </w:rPr>
        <w:t>Base value of $50,464, plus</w:t>
      </w:r>
    </w:p>
    <w:p w14:paraId="00083B08" w14:textId="77777777" w:rsidR="00E3595C" w:rsidRPr="00653BFD" w:rsidRDefault="00E3595C" w:rsidP="007F1F1C">
      <w:pPr>
        <w:pStyle w:val="ListParagraph"/>
        <w:numPr>
          <w:ilvl w:val="0"/>
          <w:numId w:val="33"/>
        </w:numPr>
        <w:spacing w:after="0"/>
        <w:rPr>
          <w:sz w:val="24"/>
          <w:szCs w:val="24"/>
        </w:rPr>
      </w:pPr>
      <w:r w:rsidRPr="00653BFD">
        <w:rPr>
          <w:sz w:val="24"/>
          <w:szCs w:val="24"/>
        </w:rPr>
        <w:t>$0.50 per patient reported in the 2018 Uniform Data System (UDS), plus</w:t>
      </w:r>
    </w:p>
    <w:p w14:paraId="56CD62CB" w14:textId="77777777" w:rsidR="00E3595C" w:rsidRPr="00653BFD" w:rsidRDefault="00E3595C" w:rsidP="007F1F1C">
      <w:pPr>
        <w:pStyle w:val="ListParagraph"/>
        <w:numPr>
          <w:ilvl w:val="0"/>
          <w:numId w:val="33"/>
        </w:numPr>
        <w:spacing w:after="0"/>
        <w:rPr>
          <w:sz w:val="24"/>
          <w:szCs w:val="24"/>
        </w:rPr>
      </w:pPr>
      <w:r w:rsidRPr="00653BFD">
        <w:rPr>
          <w:sz w:val="24"/>
          <w:szCs w:val="24"/>
        </w:rPr>
        <w:t>$2.50 per uninsured patient reported in the 2018 UDS.</w:t>
      </w:r>
    </w:p>
    <w:p w14:paraId="2053EB21" w14:textId="77777777" w:rsidR="007F1F1C" w:rsidRPr="00653BFD" w:rsidRDefault="007F1F1C" w:rsidP="007F1F1C">
      <w:pPr>
        <w:pStyle w:val="NormalWeb"/>
        <w:spacing w:before="0" w:beforeAutospacing="0" w:after="0" w:afterAutospacing="0"/>
      </w:pPr>
    </w:p>
    <w:p w14:paraId="4E7008E2" w14:textId="77777777" w:rsidR="00D91555" w:rsidRPr="00653BFD" w:rsidRDefault="00D91555" w:rsidP="007F1F1C">
      <w:pPr>
        <w:pStyle w:val="NormalWeb"/>
        <w:spacing w:before="0" w:beforeAutospacing="0" w:after="0" w:afterAutospacing="0"/>
      </w:pPr>
      <w:r w:rsidRPr="00653BFD">
        <w:t>The $1.32 billion from the CARES Act was distributed on April 7 and 8, using the following distribution formula</w:t>
      </w:r>
      <w:r w:rsidR="007F1F1C" w:rsidRPr="00653BFD">
        <w:t>, with an average award of approximately $950,000</w:t>
      </w:r>
      <w:r w:rsidRPr="00653BFD">
        <w:t>:</w:t>
      </w:r>
    </w:p>
    <w:p w14:paraId="3B11B346" w14:textId="77777777" w:rsidR="00D91555" w:rsidRPr="00653BFD" w:rsidRDefault="00D91555" w:rsidP="007F1F1C">
      <w:pPr>
        <w:pStyle w:val="ListParagraph"/>
        <w:numPr>
          <w:ilvl w:val="0"/>
          <w:numId w:val="34"/>
        </w:numPr>
        <w:spacing w:after="0"/>
        <w:rPr>
          <w:sz w:val="24"/>
          <w:szCs w:val="24"/>
        </w:rPr>
      </w:pPr>
      <w:r w:rsidRPr="00653BFD">
        <w:rPr>
          <w:sz w:val="24"/>
          <w:szCs w:val="24"/>
        </w:rPr>
        <w:t>Base value of $503,000, plus</w:t>
      </w:r>
    </w:p>
    <w:p w14:paraId="311750DC" w14:textId="77777777" w:rsidR="00D91555" w:rsidRPr="00653BFD" w:rsidRDefault="00D91555" w:rsidP="007F1F1C">
      <w:pPr>
        <w:pStyle w:val="ListParagraph"/>
        <w:numPr>
          <w:ilvl w:val="0"/>
          <w:numId w:val="34"/>
        </w:numPr>
        <w:spacing w:after="0"/>
        <w:rPr>
          <w:sz w:val="24"/>
          <w:szCs w:val="24"/>
        </w:rPr>
      </w:pPr>
      <w:r w:rsidRPr="00653BFD">
        <w:rPr>
          <w:sz w:val="24"/>
          <w:szCs w:val="24"/>
        </w:rPr>
        <w:t>$15.00 per patient reported in the 2018 Uniform Data System (UDS), plus</w:t>
      </w:r>
    </w:p>
    <w:p w14:paraId="6685C5E3" w14:textId="77777777" w:rsidR="00D91555" w:rsidRPr="00653BFD" w:rsidRDefault="00D91555" w:rsidP="007F1F1C">
      <w:pPr>
        <w:pStyle w:val="ListParagraph"/>
        <w:numPr>
          <w:ilvl w:val="0"/>
          <w:numId w:val="34"/>
        </w:numPr>
        <w:spacing w:after="0"/>
        <w:rPr>
          <w:sz w:val="24"/>
          <w:szCs w:val="24"/>
        </w:rPr>
      </w:pPr>
      <w:r w:rsidRPr="00653BFD">
        <w:rPr>
          <w:sz w:val="24"/>
          <w:szCs w:val="24"/>
        </w:rPr>
        <w:t>$30.00 per uninsured patient reported in the 2018 UDS.</w:t>
      </w:r>
    </w:p>
    <w:p w14:paraId="3505779F" w14:textId="77777777" w:rsidR="00653BFD" w:rsidRPr="001D72DA" w:rsidRDefault="00653BFD" w:rsidP="00653BFD">
      <w:pPr>
        <w:pStyle w:val="NormalWeb"/>
      </w:pPr>
      <w:r w:rsidRPr="00653BFD">
        <w:rPr>
          <w:rStyle w:val="Strong"/>
          <w:b w:val="0"/>
          <w:bCs w:val="0"/>
          <w:i/>
          <w:iCs/>
          <w:color w:val="000000"/>
          <w:u w:val="single"/>
          <w:bdr w:val="none" w:sz="0" w:space="0" w:color="auto" w:frame="1"/>
        </w:rPr>
        <w:t xml:space="preserve">Do we need to separately track and account for COVID-19 funding?  </w:t>
      </w:r>
      <w:r w:rsidRPr="00653BFD">
        <w:rPr>
          <w:rStyle w:val="Strong"/>
          <w:b w:val="0"/>
          <w:bCs w:val="0"/>
          <w:color w:val="000000"/>
          <w:bdr w:val="none" w:sz="0" w:space="0" w:color="auto" w:frame="1"/>
        </w:rPr>
        <w:t xml:space="preserve"> Yes.  These grants were made separately from</w:t>
      </w:r>
      <w:r w:rsidRPr="00653BFD">
        <w:t xml:space="preserve"> health centers’ operational (H80) grant award, using the activity codes H8C (Supplemental Appropriations funding) and H8D (CARES funding). As with other supplemental funding, health centers will need to separately track and account for their COVID-19 prevention, preparedness, and response-related activities supported through this funding.</w:t>
      </w:r>
      <w:r w:rsidRPr="001D72DA">
        <w:t xml:space="preserve">  </w:t>
      </w:r>
    </w:p>
    <w:p w14:paraId="2DCAE6A7" w14:textId="77777777" w:rsidR="00653BFD" w:rsidRPr="001D72DA" w:rsidRDefault="00653BFD" w:rsidP="00653BFD">
      <w:pPr>
        <w:pStyle w:val="NormalWeb"/>
        <w:spacing w:before="0" w:beforeAutospacing="0" w:after="0" w:afterAutospacing="0"/>
        <w:rPr>
          <w:i/>
          <w:iCs/>
          <w:u w:val="single"/>
        </w:rPr>
      </w:pPr>
      <w:r w:rsidRPr="001D72DA">
        <w:rPr>
          <w:rStyle w:val="Strong"/>
          <w:b w:val="0"/>
          <w:bCs w:val="0"/>
          <w:i/>
          <w:iCs/>
          <w:color w:val="000000"/>
          <w:u w:val="single"/>
          <w:bdr w:val="none" w:sz="0" w:space="0" w:color="auto" w:frame="1"/>
        </w:rPr>
        <w:t>What is the period of performance for this funding?</w:t>
      </w:r>
      <w:r w:rsidRPr="001D72DA">
        <w:t xml:space="preserve">   The performance period for this funding is 12 months. </w:t>
      </w:r>
      <w:r w:rsidRPr="001D72DA">
        <w:rPr>
          <w:shd w:val="clear" w:color="auto" w:fill="FFFFFF"/>
        </w:rPr>
        <w:t>Funding is available for immediate use, and pre-award costs are permitted to support expenses related to the coronavirus public health emergency dating back to January 20, 2020.</w:t>
      </w:r>
    </w:p>
    <w:p w14:paraId="5BFF70FA" w14:textId="77777777" w:rsidR="00653BFD" w:rsidRDefault="00653BFD" w:rsidP="00653BFD">
      <w:pPr>
        <w:pStyle w:val="NormalWeb"/>
        <w:spacing w:before="0" w:beforeAutospacing="0" w:after="0" w:afterAutospacing="0"/>
        <w:ind w:left="720"/>
        <w:rPr>
          <w:i/>
          <w:iCs/>
          <w:u w:val="single"/>
        </w:rPr>
      </w:pPr>
    </w:p>
    <w:p w14:paraId="719E1EA1" w14:textId="77777777" w:rsidR="00653BFD" w:rsidRPr="001D72DA" w:rsidRDefault="00653BFD" w:rsidP="00653BFD">
      <w:pPr>
        <w:pStyle w:val="NormalWeb"/>
        <w:spacing w:before="0" w:beforeAutospacing="0" w:after="0" w:afterAutospacing="0"/>
      </w:pPr>
      <w:r w:rsidRPr="001D72DA">
        <w:rPr>
          <w:i/>
          <w:iCs/>
          <w:u w:val="single"/>
        </w:rPr>
        <w:t>Did look-alikes receive any of this funding?</w:t>
      </w:r>
      <w:r w:rsidRPr="001D72DA">
        <w:rPr>
          <w:i/>
          <w:iCs/>
        </w:rPr>
        <w:t xml:space="preserve">  </w:t>
      </w:r>
      <w:r w:rsidRPr="001D72DA">
        <w:t xml:space="preserve">No, look-alikes were not eligible for this funding, as the statute said the funding was is explicitly "for grants under the Health Center Program, as defined by section 330 of the Public Health Service Act.".  Therefore, only </w:t>
      </w:r>
      <w:r w:rsidRPr="001D72DA">
        <w:lastRenderedPageBreak/>
        <w:t>Health Center Program awardees are eligible for the first round of COVID-19 funding.  Note that the BPHC FAQ states that “HRSA is researching what other coronavirus funds may be available for Health Center Program look-alikes and will provide this information as soon as possible.”</w:t>
      </w:r>
    </w:p>
    <w:p w14:paraId="5A09F156" w14:textId="77777777" w:rsidR="00653BFD" w:rsidRDefault="00653BFD" w:rsidP="00653BFD">
      <w:pPr>
        <w:pStyle w:val="NormalWeb"/>
        <w:spacing w:before="0" w:beforeAutospacing="0" w:after="0" w:afterAutospacing="0"/>
        <w:ind w:left="720"/>
        <w:rPr>
          <w:i/>
          <w:iCs/>
          <w:color w:val="000000"/>
          <w:u w:val="single"/>
        </w:rPr>
      </w:pPr>
    </w:p>
    <w:p w14:paraId="4A7C4AFB" w14:textId="77777777" w:rsidR="00653BFD" w:rsidRPr="00653BFD" w:rsidRDefault="00653BFD" w:rsidP="00653BFD">
      <w:pPr>
        <w:pStyle w:val="NormalWeb"/>
        <w:spacing w:before="0" w:beforeAutospacing="0" w:after="0" w:afterAutospacing="0"/>
      </w:pPr>
      <w:r w:rsidRPr="00653BFD">
        <w:rPr>
          <w:i/>
          <w:iCs/>
          <w:color w:val="000000"/>
          <w:u w:val="single"/>
        </w:rPr>
        <w:t>What are allowable uses of this funding?</w:t>
      </w:r>
      <w:r w:rsidRPr="00653BFD">
        <w:rPr>
          <w:color w:val="000000"/>
        </w:rPr>
        <w:t xml:space="preserve">  </w:t>
      </w:r>
      <w:r w:rsidRPr="00653BFD">
        <w:t xml:space="preserve">Jim Macrae addressed this issue on the April 15 BPHC all-program phone call.  Based on recent OMB guidance, BPHC has concluded that all COVID-19 funding (as well as regular 330 grant fund and program income) may be used to </w:t>
      </w:r>
      <w:r w:rsidRPr="00653BFD">
        <w:rPr>
          <w:color w:val="000000"/>
        </w:rPr>
        <w:t xml:space="preserve">cover payroll costs for staff who are unable to perform their usual duties due to the pandemic.  In addition, the following FAQs -- copied verbatim from the </w:t>
      </w:r>
      <w:hyperlink r:id="rId16" w:anchor="covid-19" w:history="1">
        <w:r w:rsidRPr="00653BFD">
          <w:rPr>
            <w:rStyle w:val="Hyperlink"/>
          </w:rPr>
          <w:t>BPHC FAQ page</w:t>
        </w:r>
      </w:hyperlink>
      <w:r w:rsidRPr="00653BFD">
        <w:rPr>
          <w:rStyle w:val="Hyperlink"/>
          <w:i/>
          <w:iCs/>
          <w:u w:val="none"/>
        </w:rPr>
        <w:t xml:space="preserve"> – </w:t>
      </w:r>
      <w:r w:rsidRPr="00653BFD">
        <w:rPr>
          <w:rStyle w:val="Hyperlink"/>
          <w:color w:val="auto"/>
          <w:u w:val="none"/>
        </w:rPr>
        <w:t xml:space="preserve">address specific uses of these funds: </w:t>
      </w:r>
    </w:p>
    <w:p w14:paraId="1D5557C0" w14:textId="77777777" w:rsidR="00653BFD" w:rsidRPr="00653BFD" w:rsidRDefault="00653BFD" w:rsidP="00653BFD">
      <w:pPr>
        <w:pStyle w:val="NormalWeb"/>
        <w:spacing w:before="0" w:beforeAutospacing="0" w:after="0" w:afterAutospacing="0"/>
        <w:ind w:left="720"/>
      </w:pPr>
      <w:r w:rsidRPr="00653BFD">
        <w:rPr>
          <w:rStyle w:val="Strong"/>
          <w:color w:val="000000"/>
          <w:bdr w:val="none" w:sz="0" w:space="0" w:color="auto" w:frame="1"/>
        </w:rPr>
        <w:t>Can health centers use COVID-19 funding (activity code H8C) to pay providers who are not working on COVID-19 related activities? </w:t>
      </w:r>
      <w:r w:rsidRPr="00653BFD">
        <w:rPr>
          <w:rStyle w:val="Emphasis"/>
          <w:b w:val="0"/>
          <w:bCs w:val="0"/>
          <w:color w:val="000000"/>
          <w:sz w:val="24"/>
          <w:szCs w:val="24"/>
          <w:bdr w:val="none" w:sz="0" w:space="0" w:color="auto" w:frame="1"/>
        </w:rPr>
        <w:t>(Added: 3/27/2020)</w:t>
      </w:r>
    </w:p>
    <w:p w14:paraId="6E142F0C" w14:textId="77777777" w:rsidR="00653BFD" w:rsidRPr="00653BFD" w:rsidRDefault="00653BFD" w:rsidP="00653BFD">
      <w:pPr>
        <w:pStyle w:val="NormalWeb"/>
        <w:spacing w:before="0" w:beforeAutospacing="0" w:after="0" w:afterAutospacing="0"/>
        <w:ind w:left="720"/>
      </w:pPr>
      <w:r w:rsidRPr="00653BFD">
        <w:t>HRSA recognizes that many health centers need funding to maintain capacity during a time of temporary decreases in revenues resulting from the public health emergency. However, per statute, the </w:t>
      </w:r>
      <w:hyperlink r:id="rId17" w:history="1">
        <w:r w:rsidRPr="00653BFD">
          <w:rPr>
            <w:rStyle w:val="Hyperlink"/>
            <w:bdr w:val="none" w:sz="0" w:space="0" w:color="auto" w:frame="1"/>
          </w:rPr>
          <w:t>COVID-19 awards</w:t>
        </w:r>
      </w:hyperlink>
      <w:r w:rsidRPr="00653BFD">
        <w:t> (PDF - 216 KB) (H8C) are for expenses, including personnel costs, associated with prevention, preparedness and response to COVID-19.</w:t>
      </w:r>
    </w:p>
    <w:p w14:paraId="175DD872" w14:textId="77777777" w:rsidR="00653BFD" w:rsidRPr="00653BFD" w:rsidRDefault="00653BFD" w:rsidP="00653BFD">
      <w:pPr>
        <w:pStyle w:val="NormalWeb"/>
        <w:spacing w:before="0" w:beforeAutospacing="0" w:after="0" w:afterAutospacing="0"/>
        <w:ind w:left="720"/>
        <w:rPr>
          <w:rStyle w:val="Strong"/>
          <w:color w:val="000000"/>
          <w:bdr w:val="none" w:sz="0" w:space="0" w:color="auto" w:frame="1"/>
        </w:rPr>
      </w:pPr>
    </w:p>
    <w:p w14:paraId="06455546" w14:textId="77777777" w:rsidR="00653BFD" w:rsidRPr="00653BFD" w:rsidRDefault="00653BFD" w:rsidP="00653BFD">
      <w:pPr>
        <w:pStyle w:val="NormalWeb"/>
        <w:spacing w:before="0" w:beforeAutospacing="0" w:after="0" w:afterAutospacing="0"/>
        <w:ind w:left="720"/>
      </w:pPr>
      <w:r w:rsidRPr="00653BFD">
        <w:rPr>
          <w:rStyle w:val="Strong"/>
          <w:color w:val="000000"/>
          <w:bdr w:val="none" w:sz="0" w:space="0" w:color="auto" w:frame="1"/>
        </w:rPr>
        <w:t>Can COVID-19 funding be used for hazard pay or a “pandemic premium”? </w:t>
      </w:r>
      <w:r w:rsidRPr="00653BFD">
        <w:rPr>
          <w:rStyle w:val="Emphasis"/>
          <w:b w:val="0"/>
          <w:bCs w:val="0"/>
          <w:color w:val="000000"/>
          <w:sz w:val="24"/>
          <w:szCs w:val="24"/>
          <w:bdr w:val="none" w:sz="0" w:space="0" w:color="auto" w:frame="1"/>
        </w:rPr>
        <w:t>(Added: 4/13/2020)</w:t>
      </w:r>
    </w:p>
    <w:p w14:paraId="2CE51953" w14:textId="77777777" w:rsidR="00653BFD" w:rsidRPr="00653BFD" w:rsidRDefault="00653BFD" w:rsidP="00653BFD">
      <w:pPr>
        <w:pStyle w:val="NormalWeb"/>
        <w:spacing w:before="0" w:beforeAutospacing="0" w:after="0" w:afterAutospacing="0"/>
        <w:ind w:left="720"/>
      </w:pPr>
      <w:r w:rsidRPr="00653BFD">
        <w:t>COVID-19 (H8C) funds may be used for hazard and premium pay if you have policies and procedures in place that cover this type of pay. Personnel who will be paid with COVID-19 (H8C) funding must receive salary and benefits consistent with your health center's policies of paying salaries under unexpected or extraordinary circumstances from all funding sources, federal and non-federal.</w:t>
      </w:r>
    </w:p>
    <w:p w14:paraId="6C095626" w14:textId="77777777" w:rsidR="00653BFD" w:rsidRPr="00653BFD" w:rsidRDefault="00653BFD" w:rsidP="00653BFD">
      <w:pPr>
        <w:pStyle w:val="NormalWeb"/>
        <w:spacing w:before="0" w:beforeAutospacing="0" w:after="0" w:afterAutospacing="0"/>
        <w:ind w:left="720"/>
      </w:pPr>
      <w:r w:rsidRPr="00653BFD">
        <w:t>If you do not have such policies in place for paying salaries under unexpected or emergency circumstances, you should immediately develop and officially adopt these new policies. This is allowed through the Office of Management and Budget (OMB) flexibilities listed in memoranda </w:t>
      </w:r>
      <w:hyperlink r:id="rId18" w:history="1">
        <w:r w:rsidRPr="00653BFD">
          <w:rPr>
            <w:rStyle w:val="Hyperlink"/>
            <w:bdr w:val="none" w:sz="0" w:space="0" w:color="auto" w:frame="1"/>
          </w:rPr>
          <w:t>M-20-11</w:t>
        </w:r>
      </w:hyperlink>
      <w:r w:rsidRPr="00653BFD">
        <w:t> (PDF - 1.3 MB) and </w:t>
      </w:r>
      <w:hyperlink r:id="rId19" w:history="1">
        <w:r w:rsidRPr="00653BFD">
          <w:rPr>
            <w:rStyle w:val="Hyperlink"/>
            <w:bdr w:val="none" w:sz="0" w:space="0" w:color="auto" w:frame="1"/>
          </w:rPr>
          <w:t>M-20-17</w:t>
        </w:r>
      </w:hyperlink>
      <w:r w:rsidRPr="00653BFD">
        <w:t> (PDF - 5.4 MB). You must document that you are following your organizational policy for charging salaries during unexpected and extraordinary circumstances. You should also document that you are following HRSA guidance as adopted and permitted by the OMB memoranda.</w:t>
      </w:r>
    </w:p>
    <w:p w14:paraId="3D3AD735" w14:textId="77777777" w:rsidR="00653BFD" w:rsidRPr="00653BFD" w:rsidRDefault="00653BFD" w:rsidP="00653BFD">
      <w:pPr>
        <w:pStyle w:val="NormalWeb"/>
        <w:spacing w:before="0" w:beforeAutospacing="0" w:after="0" w:afterAutospacing="0"/>
        <w:ind w:left="720"/>
        <w:rPr>
          <w:rStyle w:val="Strong"/>
          <w:color w:val="000000"/>
          <w:bdr w:val="none" w:sz="0" w:space="0" w:color="auto" w:frame="1"/>
        </w:rPr>
      </w:pPr>
    </w:p>
    <w:p w14:paraId="155ED935" w14:textId="77777777" w:rsidR="00653BFD" w:rsidRPr="00653BFD" w:rsidRDefault="00653BFD" w:rsidP="00653BFD">
      <w:pPr>
        <w:pStyle w:val="NormalWeb"/>
        <w:spacing w:before="0" w:beforeAutospacing="0" w:after="0" w:afterAutospacing="0"/>
        <w:ind w:left="720"/>
      </w:pPr>
      <w:r w:rsidRPr="00653BFD">
        <w:rPr>
          <w:rStyle w:val="Strong"/>
          <w:color w:val="000000"/>
          <w:bdr w:val="none" w:sz="0" w:space="0" w:color="auto" w:frame="1"/>
        </w:rPr>
        <w:t>Can COVID-19 funding be used to rent space, including temporary structures, to support quarantines and physical distancing? </w:t>
      </w:r>
      <w:r w:rsidRPr="00653BFD">
        <w:rPr>
          <w:rStyle w:val="Emphasis"/>
          <w:b w:val="0"/>
          <w:bCs w:val="0"/>
          <w:color w:val="000000"/>
          <w:sz w:val="24"/>
          <w:szCs w:val="24"/>
          <w:bdr w:val="none" w:sz="0" w:space="0" w:color="auto" w:frame="1"/>
        </w:rPr>
        <w:t>(Added: 4/13/2020)</w:t>
      </w:r>
    </w:p>
    <w:p w14:paraId="72BF8EA2" w14:textId="77777777" w:rsidR="00653BFD" w:rsidRPr="00653BFD" w:rsidRDefault="00653BFD" w:rsidP="00653BFD">
      <w:pPr>
        <w:pStyle w:val="NormalWeb"/>
        <w:spacing w:before="0" w:beforeAutospacing="0" w:after="0" w:afterAutospacing="0"/>
        <w:ind w:left="720"/>
      </w:pPr>
      <w:r w:rsidRPr="00653BFD">
        <w:t>COVID-19 (H8C) funds may be used to support rent of an approved temporary site to perform in-scope activities.</w:t>
      </w:r>
    </w:p>
    <w:p w14:paraId="39CFC886" w14:textId="77777777" w:rsidR="00653BFD" w:rsidRPr="00653BFD" w:rsidRDefault="00653BFD" w:rsidP="00653BFD">
      <w:pPr>
        <w:pStyle w:val="NormalWeb"/>
        <w:spacing w:before="0" w:beforeAutospacing="0" w:after="0" w:afterAutospacing="0"/>
        <w:ind w:left="720"/>
      </w:pPr>
    </w:p>
    <w:p w14:paraId="734C9744" w14:textId="77777777" w:rsidR="005571C7" w:rsidRDefault="00653BFD" w:rsidP="00653BFD">
      <w:pPr>
        <w:pStyle w:val="NormalWeb"/>
        <w:spacing w:before="0" w:beforeAutospacing="0" w:after="0" w:afterAutospacing="0"/>
        <w:rPr>
          <w:b/>
          <w:bCs/>
        </w:rPr>
      </w:pPr>
      <w:r w:rsidRPr="00653BFD">
        <w:rPr>
          <w:i/>
          <w:iCs/>
          <w:u w:val="single"/>
        </w:rPr>
        <w:t>Are the differences between how the two rounds of BPHC COVID-19 supplemental funds may be used?</w:t>
      </w:r>
      <w:r w:rsidRPr="00653BFD">
        <w:t xml:space="preserve">  Jim Macrae addressed this issue on the April 15 BPHC all-program phone call.  Based on recent OMB guidance, the only difference between how the funds can be used is that only CARES funding may be used for minor alteration and renovation (A&amp;R) and to purchase mobile units, while fund the $100 million Supplemental Approps may not be used for these purposes.</w:t>
      </w:r>
      <w:r>
        <w:t xml:space="preserve">  </w:t>
      </w:r>
      <w:r w:rsidR="00C01EC4">
        <w:br w:type="page"/>
      </w:r>
    </w:p>
    <w:p w14:paraId="5C53FCB2" w14:textId="77777777" w:rsidR="00C01EC4" w:rsidRDefault="00C01EC4" w:rsidP="007F1F1C">
      <w:pPr>
        <w:pStyle w:val="Heading1"/>
      </w:pPr>
    </w:p>
    <w:p w14:paraId="1D120F35" w14:textId="77777777" w:rsidR="00784F31" w:rsidRDefault="00784F31" w:rsidP="007F1F1C">
      <w:pPr>
        <w:pStyle w:val="Heading2"/>
      </w:pPr>
      <w:bookmarkStart w:id="20" w:name="_Toc37850321"/>
      <w:bookmarkStart w:id="21" w:name="_Hlk37858647"/>
      <w:r>
        <w:t>$100 Billion CARES Provider Relief Fund</w:t>
      </w:r>
      <w:bookmarkEnd w:id="20"/>
      <w:r>
        <w:t xml:space="preserve"> </w:t>
      </w:r>
      <w:bookmarkEnd w:id="21"/>
    </w:p>
    <w:p w14:paraId="58DE3639" w14:textId="77777777" w:rsidR="00784F31" w:rsidRDefault="00784F31" w:rsidP="007F1F1C">
      <w:pPr>
        <w:pStyle w:val="Heading1"/>
      </w:pPr>
    </w:p>
    <w:p w14:paraId="5FD31DF8" w14:textId="77777777" w:rsidR="00784F31" w:rsidRPr="007F1F1C" w:rsidRDefault="00784F31" w:rsidP="000407A1">
      <w:bookmarkStart w:id="22" w:name="_Toc37850322"/>
      <w:r w:rsidRPr="007F1F1C">
        <w:t>The CARES Act appropriated $100 billion in the Public Health and Social Services Emergency Fund (PHSSEF) to be disbursed directly to health care providers, to help them address expenses and lost revenues due to COVID-19.  The HHS Secretary has delegated responsibility for overseeing the disbursement of these funds to HRSA,</w:t>
      </w:r>
      <w:bookmarkEnd w:id="22"/>
    </w:p>
    <w:p w14:paraId="41319733" w14:textId="77777777" w:rsidR="00784F31" w:rsidRPr="007F1F1C" w:rsidRDefault="00784F31" w:rsidP="000407A1"/>
    <w:p w14:paraId="26824CC8" w14:textId="77777777" w:rsidR="00784F31" w:rsidRPr="007F1F1C" w:rsidRDefault="00784F31" w:rsidP="000407A1">
      <w:bookmarkStart w:id="23" w:name="_Toc37850323"/>
      <w:r w:rsidRPr="00134F6A">
        <w:rPr>
          <w:i/>
          <w:iCs/>
          <w:u w:val="single"/>
        </w:rPr>
        <w:t>Will these funds need to be paid back</w:t>
      </w:r>
      <w:r w:rsidRPr="007F1F1C">
        <w:t xml:space="preserve">?  No.  These are grant funds, and as long as a health center adheres to the </w:t>
      </w:r>
      <w:hyperlink r:id="rId20" w:history="1">
        <w:r w:rsidRPr="007F1F1C">
          <w:rPr>
            <w:rStyle w:val="Hyperlink"/>
            <w:color w:val="auto"/>
            <w:u w:val="none"/>
          </w:rPr>
          <w:t>HHS Terms &amp; Conditions</w:t>
        </w:r>
      </w:hyperlink>
      <w:r w:rsidRPr="007F1F1C">
        <w:t>, they do not need to be repaid.</w:t>
      </w:r>
      <w:bookmarkEnd w:id="23"/>
      <w:r w:rsidRPr="007F1F1C">
        <w:t xml:space="preserve">  </w:t>
      </w:r>
    </w:p>
    <w:p w14:paraId="6FC8528B" w14:textId="77777777" w:rsidR="00784F31" w:rsidRPr="007F1F1C" w:rsidRDefault="00784F31" w:rsidP="000407A1"/>
    <w:p w14:paraId="7313A00B" w14:textId="77777777" w:rsidR="00784F31" w:rsidRPr="007F1F1C" w:rsidRDefault="00784F31" w:rsidP="000407A1">
      <w:bookmarkStart w:id="24" w:name="_Toc37850324"/>
      <w:r w:rsidRPr="00134F6A">
        <w:rPr>
          <w:i/>
          <w:iCs/>
          <w:u w:val="single"/>
        </w:rPr>
        <w:t>How can these funds be used?</w:t>
      </w:r>
      <w:r w:rsidRPr="007F1F1C">
        <w:t xml:space="preserve">  The funds may be used either for health care related expenses or for lost revenues that are attributable to coronavirus.</w:t>
      </w:r>
      <w:bookmarkEnd w:id="24"/>
      <w:r w:rsidRPr="007F1F1C">
        <w:t xml:space="preserve"> </w:t>
      </w:r>
    </w:p>
    <w:p w14:paraId="52EFC872" w14:textId="77777777" w:rsidR="00784F31" w:rsidRPr="00134F6A" w:rsidRDefault="00784F31" w:rsidP="007F1F1C">
      <w:pPr>
        <w:rPr>
          <w:i/>
          <w:iCs/>
          <w:u w:val="single"/>
        </w:rPr>
      </w:pPr>
    </w:p>
    <w:p w14:paraId="53E9A065" w14:textId="77777777" w:rsidR="00784F31" w:rsidRPr="007F1F1C" w:rsidRDefault="00784F31" w:rsidP="007F1F1C">
      <w:bookmarkStart w:id="25" w:name="_Toc37850325"/>
      <w:r w:rsidRPr="00134F6A">
        <w:rPr>
          <w:i/>
          <w:iCs/>
          <w:u w:val="single"/>
        </w:rPr>
        <w:t xml:space="preserve">How much of this fund has been distributed to date?  </w:t>
      </w:r>
      <w:r w:rsidRPr="007F1F1C">
        <w:t xml:space="preserve">On April 10, HHS distributed an initial $30 billion from this fund.  The distribution was based on each share of total Medicare fee-for-service (FFS) reimbursements in 2019.  The money was deposited via Optum Bank and is labeled “stimulus payment” or ”HHSPAYMENT.”  The amount that each provider received appears to be close to three weeks of Medicare FFS payments. For additional details on the calculations, see the </w:t>
      </w:r>
      <w:hyperlink r:id="rId21" w:history="1">
        <w:r w:rsidR="000407A1" w:rsidRPr="00DB71EB">
          <w:rPr>
            <w:rStyle w:val="Hyperlink"/>
            <w:sz w:val="22"/>
            <w:szCs w:val="22"/>
          </w:rPr>
          <w:t>HHS CARES Provider Relief Fund</w:t>
        </w:r>
      </w:hyperlink>
      <w:r w:rsidRPr="007F1F1C">
        <w:t>.</w:t>
      </w:r>
      <w:bookmarkEnd w:id="25"/>
    </w:p>
    <w:p w14:paraId="44BB1A82" w14:textId="77777777" w:rsidR="00784F31" w:rsidRDefault="00784F31" w:rsidP="007F1F1C"/>
    <w:p w14:paraId="58F4C292" w14:textId="77777777" w:rsidR="00784F31" w:rsidRDefault="00784F31" w:rsidP="007F1F1C">
      <w:pPr>
        <w:rPr>
          <w:rFonts w:eastAsia="Calibri"/>
        </w:rPr>
      </w:pPr>
      <w:r w:rsidRPr="007B104E">
        <w:rPr>
          <w:i/>
          <w:iCs/>
          <w:u w:val="single"/>
        </w:rPr>
        <w:t>What requirements apply?</w:t>
      </w:r>
      <w:r w:rsidRPr="007B104E">
        <w:t xml:space="preserve">  Each recipient must to attest to certain </w:t>
      </w:r>
      <w:hyperlink r:id="rId22" w:history="1">
        <w:r w:rsidRPr="007B104E">
          <w:rPr>
            <w:rStyle w:val="Hyperlink"/>
          </w:rPr>
          <w:t>HHS Terms &amp; Conditions</w:t>
        </w:r>
      </w:hyperlink>
      <w:r w:rsidRPr="007B104E">
        <w:t xml:space="preserve"> (T&amp;Cs) within 30 days of receiving the grant.  These T&amp;Cs include the standard restrictions that apply to all HHS grants each year – e.g., prohibition on using the funds for </w:t>
      </w:r>
      <w:r>
        <w:t xml:space="preserve">lobbying, </w:t>
      </w:r>
      <w:r w:rsidRPr="007B104E">
        <w:t>abortion</w:t>
      </w:r>
      <w:r>
        <w:t>,</w:t>
      </w:r>
      <w:r w:rsidRPr="007B104E">
        <w:t xml:space="preserve"> or to purchase needles for exchange programs.  There </w:t>
      </w:r>
      <w:r>
        <w:t xml:space="preserve">will also be reporting requirements, and requirements to not use these funds for costs that will be reimbursed from other sources.  CMS is still working out the details of these new T&amp;Cs.   </w:t>
      </w:r>
    </w:p>
    <w:p w14:paraId="40D9309C" w14:textId="77777777" w:rsidR="00784F31" w:rsidRDefault="00784F31" w:rsidP="007F1F1C">
      <w:pPr>
        <w:rPr>
          <w:rFonts w:eastAsia="Calibri"/>
        </w:rPr>
      </w:pPr>
    </w:p>
    <w:p w14:paraId="672A94C8" w14:textId="77777777" w:rsidR="00784F31" w:rsidRPr="008316D3" w:rsidRDefault="00784F31" w:rsidP="007F1F1C">
      <w:pPr>
        <w:rPr>
          <w:rFonts w:eastAsia="Calibri"/>
        </w:rPr>
      </w:pPr>
      <w:r w:rsidRPr="008316D3">
        <w:rPr>
          <w:rFonts w:eastAsia="Calibri"/>
          <w:i/>
          <w:iCs/>
          <w:u w:val="single"/>
        </w:rPr>
        <w:t>Should health center</w:t>
      </w:r>
      <w:r w:rsidR="004F5590">
        <w:rPr>
          <w:rFonts w:eastAsia="Calibri"/>
          <w:i/>
          <w:iCs/>
          <w:u w:val="single"/>
        </w:rPr>
        <w:t>s</w:t>
      </w:r>
      <w:r w:rsidRPr="008316D3">
        <w:rPr>
          <w:rFonts w:eastAsia="Calibri"/>
          <w:i/>
          <w:iCs/>
          <w:u w:val="single"/>
        </w:rPr>
        <w:t xml:space="preserve"> expect to receive more support from this fund?</w:t>
      </w:r>
      <w:r w:rsidRPr="008316D3">
        <w:rPr>
          <w:rFonts w:eastAsia="Calibri"/>
        </w:rPr>
        <w:t xml:space="preserve">  Definitely.  </w:t>
      </w:r>
      <w:r w:rsidRPr="008316D3">
        <w:t>HHS has sta</w:t>
      </w:r>
      <w:r>
        <w:t>t</w:t>
      </w:r>
      <w:r w:rsidRPr="008316D3">
        <w:t xml:space="preserve">ed publicly that future installments will focus on providers who are: heavily-impacted; rural; low Medicare FFS; </w:t>
      </w:r>
      <w:r w:rsidRPr="008316D3">
        <w:rPr>
          <w:i/>
          <w:iCs/>
        </w:rPr>
        <w:t>predominantly serve Medicaid populations; and care for large numbers of uninsured patients.</w:t>
      </w:r>
      <w:r>
        <w:t xml:space="preserve">  NACHC is reaching out to HHS to remind them of health centers’ urgent need to access these funds.  </w:t>
      </w:r>
    </w:p>
    <w:p w14:paraId="679A9AC4" w14:textId="77777777" w:rsidR="00784F31" w:rsidRDefault="00784F31" w:rsidP="007F1F1C">
      <w:pPr>
        <w:rPr>
          <w:rFonts w:eastAsia="Calibri"/>
        </w:rPr>
      </w:pPr>
    </w:p>
    <w:p w14:paraId="31303070" w14:textId="77777777" w:rsidR="00784F31" w:rsidRDefault="00784F31" w:rsidP="007F1F1C">
      <w:r w:rsidRPr="008316D3">
        <w:rPr>
          <w:i/>
          <w:iCs/>
          <w:u w:val="single"/>
        </w:rPr>
        <w:t>Where can we get more information?</w:t>
      </w:r>
      <w:r w:rsidRPr="008316D3">
        <w:t xml:space="preserve">  See the </w:t>
      </w:r>
      <w:hyperlink r:id="rId23" w:history="1">
        <w:r w:rsidRPr="008316D3">
          <w:rPr>
            <w:rStyle w:val="Hyperlink"/>
          </w:rPr>
          <w:t>HHS CARES Provider Relief Fund</w:t>
        </w:r>
      </w:hyperlink>
      <w:r w:rsidRPr="008316D3">
        <w:t xml:space="preserve"> webpage.</w:t>
      </w:r>
    </w:p>
    <w:p w14:paraId="20BF0D5C" w14:textId="77777777" w:rsidR="00784F31" w:rsidRDefault="00784F31" w:rsidP="007F1F1C">
      <w:r>
        <w:br w:type="page"/>
      </w:r>
    </w:p>
    <w:p w14:paraId="5C703FA3" w14:textId="77777777" w:rsidR="00BD5FA6" w:rsidRPr="00BD5FA6" w:rsidRDefault="004E451C" w:rsidP="007F1F1C">
      <w:pPr>
        <w:pStyle w:val="Heading1"/>
      </w:pPr>
      <w:bookmarkStart w:id="26" w:name="_Toc37850326"/>
      <w:bookmarkStart w:id="27" w:name="_Hlk37858648"/>
      <w:r w:rsidRPr="00BD5FA6">
        <w:lastRenderedPageBreak/>
        <w:t xml:space="preserve">Cashflow Options </w:t>
      </w:r>
      <w:r w:rsidR="006B4B89" w:rsidRPr="00BD5FA6">
        <w:t xml:space="preserve">(beyond </w:t>
      </w:r>
      <w:r w:rsidR="00A61575">
        <w:t xml:space="preserve">HHS </w:t>
      </w:r>
      <w:r w:rsidR="006B4B89" w:rsidRPr="00BD5FA6">
        <w:t xml:space="preserve">grants) </w:t>
      </w:r>
      <w:r w:rsidR="008300EB">
        <w:t>open</w:t>
      </w:r>
      <w:r w:rsidR="00F61655" w:rsidRPr="00BD5FA6">
        <w:t xml:space="preserve"> to </w:t>
      </w:r>
      <w:r w:rsidRPr="00BD5FA6">
        <w:t>Health Centers</w:t>
      </w:r>
      <w:r w:rsidR="00156071" w:rsidRPr="00BD5FA6">
        <w:t xml:space="preserve">, PCAs and HCCNs </w:t>
      </w:r>
      <w:r w:rsidR="00F61655" w:rsidRPr="00BD5FA6">
        <w:t>with</w:t>
      </w:r>
      <w:bookmarkEnd w:id="26"/>
      <w:r w:rsidR="00F61655" w:rsidRPr="00BD5FA6">
        <w:t xml:space="preserve"> </w:t>
      </w:r>
    </w:p>
    <w:p w14:paraId="5946396A" w14:textId="77777777" w:rsidR="006B4B89" w:rsidRPr="00BD5FA6" w:rsidRDefault="00F61655" w:rsidP="007F1F1C">
      <w:pPr>
        <w:pStyle w:val="Heading1"/>
      </w:pPr>
      <w:bookmarkStart w:id="28" w:name="_Toc37850327"/>
      <w:r w:rsidRPr="00BD5FA6">
        <w:rPr>
          <w:u w:val="single"/>
        </w:rPr>
        <w:t>less than 500 employees</w:t>
      </w:r>
      <w:r w:rsidR="004E451C" w:rsidRPr="00BD5FA6">
        <w:t xml:space="preserve"> </w:t>
      </w:r>
      <w:r w:rsidR="008A5F3F" w:rsidRPr="00BD5FA6">
        <w:t>d</w:t>
      </w:r>
      <w:r w:rsidR="004E451C" w:rsidRPr="00BD5FA6">
        <w:t xml:space="preserve">uring the Covid-19 </w:t>
      </w:r>
      <w:bookmarkEnd w:id="27"/>
      <w:bookmarkEnd w:id="28"/>
      <w:r w:rsidR="00ED0170">
        <w:t>Emergency</w:t>
      </w:r>
    </w:p>
    <w:p w14:paraId="7615723E" w14:textId="77777777" w:rsidR="006B4B89" w:rsidRPr="002D12C4" w:rsidRDefault="0093797F" w:rsidP="007F1F1C">
      <w:pPr>
        <w:pStyle w:val="Heading1"/>
        <w:rPr>
          <w:b w:val="0"/>
          <w:bCs w:val="0"/>
          <w:i/>
          <w:iCs/>
          <w:sz w:val="28"/>
          <w:szCs w:val="28"/>
        </w:rPr>
      </w:pPr>
      <w:r w:rsidRPr="002D12C4">
        <w:rPr>
          <w:b w:val="0"/>
          <w:bCs w:val="0"/>
          <w:i/>
          <w:iCs/>
          <w:sz w:val="28"/>
          <w:szCs w:val="28"/>
        </w:rPr>
        <w:t xml:space="preserve"> </w:t>
      </w:r>
      <w:bookmarkStart w:id="29" w:name="_Toc37850328"/>
      <w:r w:rsidR="006B4B89" w:rsidRPr="002D12C4">
        <w:rPr>
          <w:b w:val="0"/>
          <w:bCs w:val="0"/>
          <w:i/>
          <w:iCs/>
          <w:sz w:val="28"/>
          <w:szCs w:val="28"/>
        </w:rPr>
        <w:t>As of April 1</w:t>
      </w:r>
      <w:r w:rsidR="00280B92">
        <w:rPr>
          <w:b w:val="0"/>
          <w:bCs w:val="0"/>
          <w:i/>
          <w:iCs/>
          <w:sz w:val="28"/>
          <w:szCs w:val="28"/>
        </w:rPr>
        <w:t>5</w:t>
      </w:r>
      <w:r w:rsidR="00FD2B93" w:rsidRPr="002D12C4">
        <w:rPr>
          <w:b w:val="0"/>
          <w:bCs w:val="0"/>
          <w:i/>
          <w:iCs/>
          <w:sz w:val="28"/>
          <w:szCs w:val="28"/>
        </w:rPr>
        <w:t>, 2020</w:t>
      </w:r>
      <w:bookmarkEnd w:id="29"/>
    </w:p>
    <w:p w14:paraId="2FCCB374" w14:textId="77777777" w:rsidR="0027135D" w:rsidRPr="00AD6A46" w:rsidRDefault="0027135D" w:rsidP="007F1F1C">
      <w:pPr>
        <w:pStyle w:val="Heading1"/>
      </w:pPr>
    </w:p>
    <w:tbl>
      <w:tblPr>
        <w:tblW w:w="13583" w:type="dxa"/>
        <w:tblInd w:w="-458"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784"/>
        <w:gridCol w:w="2312"/>
        <w:gridCol w:w="1522"/>
        <w:gridCol w:w="2565"/>
        <w:gridCol w:w="1890"/>
        <w:gridCol w:w="3510"/>
      </w:tblGrid>
      <w:tr w:rsidR="00B37899" w14:paraId="12A24B27" w14:textId="77777777" w:rsidTr="008E5242">
        <w:trPr>
          <w:trHeight w:val="449"/>
        </w:trPr>
        <w:tc>
          <w:tcPr>
            <w:tcW w:w="1784" w:type="dxa"/>
            <w:tcBorders>
              <w:top w:val="double" w:sz="4" w:space="0" w:color="000000"/>
              <w:left w:val="double" w:sz="4" w:space="0" w:color="000000"/>
              <w:bottom w:val="single" w:sz="6" w:space="0" w:color="000000"/>
            </w:tcBorders>
            <w:shd w:val="clear" w:color="auto" w:fill="BFBFBF"/>
            <w:tcMar>
              <w:top w:w="8" w:type="dxa"/>
              <w:left w:w="108" w:type="dxa"/>
              <w:bottom w:w="8" w:type="dxa"/>
              <w:right w:w="113" w:type="dxa"/>
            </w:tcMar>
            <w:vAlign w:val="center"/>
          </w:tcPr>
          <w:p w14:paraId="5B0D3797" w14:textId="77777777" w:rsidR="00B37899" w:rsidRDefault="00B37899" w:rsidP="007F1F1C"/>
        </w:tc>
        <w:tc>
          <w:tcPr>
            <w:tcW w:w="2312" w:type="dxa"/>
            <w:tcBorders>
              <w:top w:val="double" w:sz="4" w:space="0" w:color="000000"/>
              <w:bottom w:val="single" w:sz="6" w:space="0" w:color="000000"/>
            </w:tcBorders>
            <w:shd w:val="clear" w:color="auto" w:fill="BFBFBF"/>
            <w:tcMar>
              <w:top w:w="8" w:type="dxa"/>
              <w:left w:w="113" w:type="dxa"/>
              <w:bottom w:w="8" w:type="dxa"/>
              <w:right w:w="113" w:type="dxa"/>
            </w:tcMar>
            <w:vAlign w:val="center"/>
            <w:hideMark/>
          </w:tcPr>
          <w:p w14:paraId="251A7C84" w14:textId="77777777" w:rsidR="00B37899" w:rsidRDefault="00B37899" w:rsidP="007F1F1C">
            <w:r>
              <w:rPr>
                <w:rFonts w:eastAsia="Calibri"/>
              </w:rPr>
              <w:t>What is it?</w:t>
            </w:r>
          </w:p>
        </w:tc>
        <w:tc>
          <w:tcPr>
            <w:tcW w:w="1522" w:type="dxa"/>
            <w:tcBorders>
              <w:top w:val="double" w:sz="4" w:space="0" w:color="000000"/>
              <w:bottom w:val="single" w:sz="6" w:space="0" w:color="000000"/>
            </w:tcBorders>
            <w:shd w:val="clear" w:color="auto" w:fill="BFBFBF"/>
            <w:tcMar>
              <w:top w:w="8" w:type="dxa"/>
              <w:left w:w="113" w:type="dxa"/>
              <w:bottom w:w="8" w:type="dxa"/>
              <w:right w:w="113" w:type="dxa"/>
            </w:tcMar>
            <w:vAlign w:val="center"/>
            <w:hideMark/>
          </w:tcPr>
          <w:p w14:paraId="04279392" w14:textId="77777777" w:rsidR="00B37899" w:rsidRDefault="00B37899" w:rsidP="007F1F1C">
            <w:r>
              <w:rPr>
                <w:rFonts w:eastAsia="Calibri"/>
              </w:rPr>
              <w:t>Who is eligible?</w:t>
            </w:r>
          </w:p>
        </w:tc>
        <w:tc>
          <w:tcPr>
            <w:tcW w:w="2565" w:type="dxa"/>
            <w:tcBorders>
              <w:top w:val="double" w:sz="4" w:space="0" w:color="000000"/>
              <w:bottom w:val="single" w:sz="6" w:space="0" w:color="000000"/>
            </w:tcBorders>
            <w:shd w:val="clear" w:color="auto" w:fill="BFBFBF"/>
            <w:tcMar>
              <w:top w:w="8" w:type="dxa"/>
              <w:left w:w="113" w:type="dxa"/>
              <w:bottom w:w="8" w:type="dxa"/>
              <w:right w:w="113" w:type="dxa"/>
            </w:tcMar>
            <w:vAlign w:val="center"/>
            <w:hideMark/>
          </w:tcPr>
          <w:p w14:paraId="7D5503AE" w14:textId="77777777" w:rsidR="00B37899" w:rsidRDefault="00B37899" w:rsidP="007F1F1C">
            <w:r>
              <w:rPr>
                <w:rFonts w:eastAsia="Calibri"/>
              </w:rPr>
              <w:t>What are the terms?</w:t>
            </w:r>
          </w:p>
        </w:tc>
        <w:tc>
          <w:tcPr>
            <w:tcW w:w="1890" w:type="dxa"/>
            <w:tcBorders>
              <w:top w:val="double" w:sz="4" w:space="0" w:color="000000"/>
              <w:bottom w:val="single" w:sz="6" w:space="0" w:color="000000"/>
            </w:tcBorders>
            <w:shd w:val="clear" w:color="auto" w:fill="BFBFBF"/>
            <w:tcMar>
              <w:top w:w="8" w:type="dxa"/>
              <w:left w:w="113" w:type="dxa"/>
              <w:bottom w:w="8" w:type="dxa"/>
              <w:right w:w="108" w:type="dxa"/>
            </w:tcMar>
            <w:vAlign w:val="center"/>
            <w:hideMark/>
          </w:tcPr>
          <w:p w14:paraId="417B1A87" w14:textId="77777777" w:rsidR="00B37899" w:rsidRDefault="00B37899" w:rsidP="007F1F1C">
            <w:r>
              <w:rPr>
                <w:rFonts w:eastAsia="Calibri"/>
              </w:rPr>
              <w:t>What to do?</w:t>
            </w:r>
          </w:p>
        </w:tc>
        <w:tc>
          <w:tcPr>
            <w:tcW w:w="3510" w:type="dxa"/>
            <w:tcBorders>
              <w:top w:val="double" w:sz="4" w:space="0" w:color="000000"/>
              <w:bottom w:val="single" w:sz="6" w:space="0" w:color="000000"/>
            </w:tcBorders>
            <w:shd w:val="clear" w:color="auto" w:fill="BFBFBF"/>
          </w:tcPr>
          <w:p w14:paraId="2AB591AC" w14:textId="77777777" w:rsidR="00B37899" w:rsidRDefault="00B37899" w:rsidP="007F1F1C">
            <w:pPr>
              <w:rPr>
                <w:rFonts w:eastAsia="Calibri"/>
              </w:rPr>
            </w:pPr>
            <w:r>
              <w:rPr>
                <w:rFonts w:eastAsia="Calibri"/>
              </w:rPr>
              <w:t>Experience, Suggestions, etc.</w:t>
            </w:r>
          </w:p>
        </w:tc>
      </w:tr>
      <w:tr w:rsidR="00B37899" w14:paraId="31F6CF61" w14:textId="77777777" w:rsidTr="008E5242">
        <w:tc>
          <w:tcPr>
            <w:tcW w:w="1784" w:type="dxa"/>
            <w:tcBorders>
              <w:top w:val="single" w:sz="6" w:space="0" w:color="000000"/>
              <w:left w:val="double" w:sz="4" w:space="0" w:color="000000"/>
              <w:bottom w:val="single" w:sz="6" w:space="0" w:color="000000"/>
              <w:right w:val="single" w:sz="6" w:space="0" w:color="000000"/>
            </w:tcBorders>
            <w:tcMar>
              <w:top w:w="8" w:type="dxa"/>
              <w:left w:w="108" w:type="dxa"/>
              <w:bottom w:w="8" w:type="dxa"/>
              <w:right w:w="108" w:type="dxa"/>
            </w:tcMar>
            <w:vAlign w:val="center"/>
            <w:hideMark/>
          </w:tcPr>
          <w:p w14:paraId="7729DE92" w14:textId="77777777" w:rsidR="00B37899" w:rsidRDefault="00B37899" w:rsidP="007F1F1C">
            <w:r>
              <w:rPr>
                <w:rFonts w:eastAsia="Calibri"/>
              </w:rPr>
              <w:t xml:space="preserve">Paycheck </w:t>
            </w:r>
          </w:p>
          <w:p w14:paraId="1C4C8B37" w14:textId="77777777" w:rsidR="00B37899" w:rsidRDefault="00B37899" w:rsidP="007F1F1C">
            <w:r>
              <w:rPr>
                <w:rFonts w:eastAsia="Calibri"/>
              </w:rPr>
              <w:t>Protection Loans</w:t>
            </w:r>
          </w:p>
        </w:tc>
        <w:tc>
          <w:tcPr>
            <w:tcW w:w="231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hideMark/>
          </w:tcPr>
          <w:p w14:paraId="3F858057" w14:textId="77777777" w:rsidR="00B37899" w:rsidRPr="006B4B89" w:rsidRDefault="00B37899" w:rsidP="007F1F1C">
            <w:r>
              <w:rPr>
                <w:rFonts w:eastAsia="Calibri"/>
              </w:rPr>
              <w:t xml:space="preserve">Fully-forgivable, Federally-backed </w:t>
            </w:r>
            <w:r w:rsidRPr="006B4B89">
              <w:rPr>
                <w:rFonts w:eastAsia="Calibri"/>
              </w:rPr>
              <w:t xml:space="preserve"> loans. For any aspect of employee compensation, as well as mortgage, rent, and utilities. May take out up to 2.5 months of payroll up to $10 million. </w:t>
            </w:r>
          </w:p>
        </w:tc>
        <w:tc>
          <w:tcPr>
            <w:tcW w:w="152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hideMark/>
          </w:tcPr>
          <w:p w14:paraId="7F996EC1" w14:textId="77777777" w:rsidR="00B37899" w:rsidRPr="006B4B89" w:rsidRDefault="00B37899" w:rsidP="007F1F1C">
            <w:r>
              <w:rPr>
                <w:rFonts w:eastAsia="Calibri"/>
              </w:rPr>
              <w:t xml:space="preserve">Employers with </w:t>
            </w:r>
            <w:r w:rsidRPr="006B4B89">
              <w:rPr>
                <w:rFonts w:eastAsia="Calibri"/>
              </w:rPr>
              <w:t>up to 500 employees.</w:t>
            </w:r>
          </w:p>
        </w:tc>
        <w:tc>
          <w:tcPr>
            <w:tcW w:w="2565"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hideMark/>
          </w:tcPr>
          <w:p w14:paraId="3C3AEA8F" w14:textId="77777777" w:rsidR="00B37899" w:rsidRPr="006B4B89" w:rsidRDefault="00B37899" w:rsidP="007F1F1C">
            <w:r w:rsidRPr="006B4B89">
              <w:rPr>
                <w:rFonts w:eastAsia="Calibri"/>
              </w:rPr>
              <w:t>Payments and interest deferred for 6 months to 1 year. After that, 1%. Principal may be fully forgivable with documentation. No fees.</w:t>
            </w:r>
          </w:p>
        </w:tc>
        <w:tc>
          <w:tcPr>
            <w:tcW w:w="1890" w:type="dxa"/>
            <w:tcBorders>
              <w:top w:val="single" w:sz="6" w:space="0" w:color="000000"/>
              <w:left w:val="single" w:sz="6" w:space="0" w:color="000000"/>
              <w:bottom w:val="single" w:sz="6" w:space="0" w:color="000000"/>
            </w:tcBorders>
            <w:tcMar>
              <w:top w:w="8" w:type="dxa"/>
              <w:left w:w="108" w:type="dxa"/>
              <w:bottom w:w="8" w:type="dxa"/>
              <w:right w:w="108" w:type="dxa"/>
            </w:tcMar>
            <w:vAlign w:val="center"/>
            <w:hideMark/>
          </w:tcPr>
          <w:p w14:paraId="3B4540F3" w14:textId="77777777" w:rsidR="00B37899" w:rsidRPr="006B4B89" w:rsidRDefault="00B37899" w:rsidP="004F5590">
            <w:pPr>
              <w:rPr>
                <w:color w:val="000000"/>
                <w:sz w:val="22"/>
                <w:szCs w:val="22"/>
              </w:rPr>
            </w:pPr>
            <w:bookmarkStart w:id="30" w:name="_Hlk36543258"/>
            <w:r w:rsidRPr="006B4B89">
              <w:rPr>
                <w:rFonts w:eastAsia="Calibri"/>
                <w:color w:val="000000"/>
                <w:sz w:val="22"/>
                <w:szCs w:val="22"/>
              </w:rPr>
              <w:t xml:space="preserve">Call your bank or find SBA-approved lenders in your area through SBA’s </w:t>
            </w:r>
            <w:hyperlink r:id="rId24" w:history="1">
              <w:r w:rsidRPr="006B4B89">
                <w:rPr>
                  <w:rFonts w:eastAsia="Calibri"/>
                  <w:color w:val="0563C1"/>
                  <w:sz w:val="22"/>
                  <w:szCs w:val="22"/>
                  <w:u w:val="single" w:color="0563C1"/>
                </w:rPr>
                <w:t>Lender Match</w:t>
              </w:r>
            </w:hyperlink>
            <w:r w:rsidRPr="006B4B89">
              <w:rPr>
                <w:rFonts w:eastAsia="Calibri"/>
                <w:color w:val="000000"/>
                <w:sz w:val="22"/>
                <w:szCs w:val="22"/>
              </w:rPr>
              <w:t xml:space="preserve"> tool. </w:t>
            </w:r>
            <w:r w:rsidR="004F5590">
              <w:rPr>
                <w:rFonts w:eastAsia="Calibri"/>
                <w:color w:val="000000"/>
                <w:sz w:val="22"/>
                <w:szCs w:val="22"/>
              </w:rPr>
              <w:t>C</w:t>
            </w:r>
            <w:r w:rsidRPr="006B4B89">
              <w:rPr>
                <w:rFonts w:eastAsia="Calibri"/>
                <w:color w:val="000000"/>
                <w:sz w:val="22"/>
                <w:szCs w:val="22"/>
              </w:rPr>
              <w:t xml:space="preserve">all your local </w:t>
            </w:r>
            <w:hyperlink r:id="rId25" w:history="1">
              <w:r w:rsidRPr="006B4B89">
                <w:rPr>
                  <w:rFonts w:eastAsia="Calibri"/>
                  <w:color w:val="0563C1"/>
                  <w:sz w:val="22"/>
                  <w:szCs w:val="22"/>
                  <w:u w:val="single" w:color="0563C1"/>
                </w:rPr>
                <w:t>Small Business Development Center</w:t>
              </w:r>
            </w:hyperlink>
            <w:r w:rsidRPr="006B4B89">
              <w:rPr>
                <w:rFonts w:eastAsia="Calibri"/>
                <w:color w:val="000000"/>
                <w:sz w:val="22"/>
                <w:szCs w:val="22"/>
              </w:rPr>
              <w:t xml:space="preserve"> </w:t>
            </w:r>
            <w:bookmarkEnd w:id="30"/>
          </w:p>
        </w:tc>
        <w:tc>
          <w:tcPr>
            <w:tcW w:w="3510" w:type="dxa"/>
            <w:tcBorders>
              <w:top w:val="single" w:sz="6" w:space="0" w:color="000000"/>
              <w:left w:val="single" w:sz="6" w:space="0" w:color="000000"/>
              <w:bottom w:val="single" w:sz="6" w:space="0" w:color="000000"/>
              <w:right w:val="single" w:sz="6" w:space="0" w:color="000000"/>
            </w:tcBorders>
          </w:tcPr>
          <w:p w14:paraId="6AD96B50" w14:textId="77777777" w:rsidR="00B37899" w:rsidRPr="006B4B89" w:rsidRDefault="00B37899" w:rsidP="007F1F1C">
            <w:pPr>
              <w:rPr>
                <w:rFonts w:eastAsia="Calibri"/>
              </w:rPr>
            </w:pPr>
            <w:r>
              <w:rPr>
                <w:rFonts w:eastAsia="Calibri"/>
              </w:rPr>
              <w:t>Wi</w:t>
            </w:r>
            <w:r w:rsidRPr="006B4B89">
              <w:rPr>
                <w:rFonts w:eastAsia="Calibri"/>
              </w:rPr>
              <w:t xml:space="preserve">dely considered the best form of support available for those who are eligible.  However, application experience varies.  Some CHCs received loans quickly; others are still waiting.  Generally better to work through a smaller bank that you already have a relationship with.  If you are having difficulty finding a lender, ask </w:t>
            </w:r>
            <w:hyperlink r:id="rId26" w:history="1">
              <w:r w:rsidRPr="006B4B89">
                <w:rPr>
                  <w:rStyle w:val="Hyperlink"/>
                  <w:sz w:val="22"/>
                  <w:szCs w:val="22"/>
                </w:rPr>
                <w:t>CapLink</w:t>
              </w:r>
            </w:hyperlink>
          </w:p>
        </w:tc>
      </w:tr>
      <w:tr w:rsidR="00B37899" w14:paraId="75BC2059" w14:textId="77777777" w:rsidTr="008E5242">
        <w:trPr>
          <w:trHeight w:val="2380"/>
        </w:trPr>
        <w:tc>
          <w:tcPr>
            <w:tcW w:w="1784" w:type="dxa"/>
            <w:tcBorders>
              <w:top w:val="single" w:sz="6" w:space="0" w:color="000000"/>
              <w:left w:val="double" w:sz="4" w:space="0" w:color="000000"/>
              <w:bottom w:val="double" w:sz="4" w:space="0" w:color="000000"/>
              <w:right w:val="single" w:sz="6" w:space="0" w:color="000000"/>
            </w:tcBorders>
            <w:tcMar>
              <w:top w:w="8" w:type="dxa"/>
              <w:left w:w="108" w:type="dxa"/>
              <w:bottom w:w="8" w:type="dxa"/>
              <w:right w:w="108" w:type="dxa"/>
            </w:tcMar>
            <w:vAlign w:val="center"/>
          </w:tcPr>
          <w:p w14:paraId="647E84B1" w14:textId="77777777" w:rsidR="00B37899" w:rsidRDefault="00B37899" w:rsidP="007F1F1C">
            <w:r>
              <w:rPr>
                <w:rFonts w:eastAsia="Calibri"/>
              </w:rPr>
              <w:t xml:space="preserve">Federal Tax Credit to cover Emergency </w:t>
            </w:r>
          </w:p>
          <w:p w14:paraId="64B56CF0" w14:textId="77777777" w:rsidR="00B37899" w:rsidRDefault="00B37899" w:rsidP="007F1F1C">
            <w:r>
              <w:rPr>
                <w:rFonts w:eastAsia="Calibri"/>
              </w:rPr>
              <w:t>Paid and Family Leave</w:t>
            </w:r>
          </w:p>
        </w:tc>
        <w:tc>
          <w:tcPr>
            <w:tcW w:w="2312" w:type="dxa"/>
            <w:tcBorders>
              <w:top w:val="single" w:sz="6" w:space="0" w:color="000000"/>
              <w:left w:val="single" w:sz="6" w:space="0" w:color="000000"/>
              <w:bottom w:val="double" w:sz="4" w:space="0" w:color="000000"/>
              <w:right w:val="single" w:sz="6" w:space="0" w:color="000000"/>
            </w:tcBorders>
            <w:tcMar>
              <w:top w:w="8" w:type="dxa"/>
              <w:left w:w="108" w:type="dxa"/>
              <w:bottom w:w="8" w:type="dxa"/>
              <w:right w:w="108" w:type="dxa"/>
            </w:tcMar>
            <w:vAlign w:val="center"/>
          </w:tcPr>
          <w:p w14:paraId="1F212FF2" w14:textId="77777777" w:rsidR="00B37899" w:rsidRPr="00684800" w:rsidRDefault="00B37899" w:rsidP="007F1F1C">
            <w:pPr>
              <w:rPr>
                <w:rFonts w:eastAsia="Calibri"/>
                <w:u w:color="000000"/>
              </w:rPr>
            </w:pPr>
            <w:r>
              <w:rPr>
                <w:rFonts w:eastAsia="Calibri"/>
                <w:u w:color="000000"/>
              </w:rPr>
              <w:t>Employer receives tax credit to cover:</w:t>
            </w:r>
          </w:p>
          <w:p w14:paraId="57391AF3" w14:textId="77777777" w:rsidR="00B37899" w:rsidRPr="006B4B89" w:rsidRDefault="00B37899" w:rsidP="007F1F1C">
            <w:r w:rsidRPr="006B4B89">
              <w:rPr>
                <w:rFonts w:eastAsia="Calibri"/>
                <w:u w:val="single" w:color="000000"/>
              </w:rPr>
              <w:t>Paid leave:</w:t>
            </w:r>
            <w:r w:rsidRPr="006B4B89">
              <w:rPr>
                <w:rFonts w:eastAsia="Calibri"/>
              </w:rPr>
              <w:t xml:space="preserve"> Up to 80 hours of paid sick leave to $511/day. For caregiver leave, 80 hours to $200/day.  </w:t>
            </w:r>
          </w:p>
          <w:p w14:paraId="44CBB36B" w14:textId="77777777" w:rsidR="00B37899" w:rsidRPr="006B4B89" w:rsidRDefault="00B37899" w:rsidP="007F1F1C"/>
          <w:p w14:paraId="55AEF33A" w14:textId="77777777" w:rsidR="00B37899" w:rsidRPr="006B4B89" w:rsidRDefault="00B37899" w:rsidP="007F1F1C">
            <w:r w:rsidRPr="006B4B89">
              <w:rPr>
                <w:rFonts w:eastAsia="Calibri"/>
                <w:u w:val="single" w:color="000000"/>
              </w:rPr>
              <w:t>Family leave:</w:t>
            </w:r>
            <w:r w:rsidRPr="006B4B89">
              <w:rPr>
                <w:rFonts w:eastAsia="Calibri"/>
              </w:rPr>
              <w:t xml:space="preserve"> 10 weeks at $200/day max. To care for a child whose school or care provider is unavailable.</w:t>
            </w:r>
          </w:p>
        </w:tc>
        <w:tc>
          <w:tcPr>
            <w:tcW w:w="1522" w:type="dxa"/>
            <w:tcBorders>
              <w:top w:val="single" w:sz="6" w:space="0" w:color="000000"/>
              <w:left w:val="single" w:sz="6" w:space="0" w:color="000000"/>
              <w:bottom w:val="double" w:sz="4" w:space="0" w:color="000000"/>
              <w:right w:val="single" w:sz="6" w:space="0" w:color="000000"/>
            </w:tcBorders>
            <w:tcMar>
              <w:top w:w="8" w:type="dxa"/>
              <w:left w:w="108" w:type="dxa"/>
              <w:bottom w:w="8" w:type="dxa"/>
              <w:right w:w="108" w:type="dxa"/>
            </w:tcMar>
            <w:vAlign w:val="center"/>
          </w:tcPr>
          <w:p w14:paraId="33B5CC5E" w14:textId="77777777" w:rsidR="00B37899" w:rsidRPr="006B4B89" w:rsidRDefault="00B37899" w:rsidP="007F1F1C">
            <w:r w:rsidRPr="006B4B89">
              <w:rPr>
                <w:rFonts w:eastAsia="Calibri"/>
              </w:rPr>
              <w:t xml:space="preserve">Employers with under 500 employees must offer. Exceptions available for health centers and firms under 50 employees. </w:t>
            </w:r>
          </w:p>
        </w:tc>
        <w:tc>
          <w:tcPr>
            <w:tcW w:w="2565" w:type="dxa"/>
            <w:tcBorders>
              <w:top w:val="single" w:sz="6" w:space="0" w:color="000000"/>
              <w:left w:val="single" w:sz="6" w:space="0" w:color="000000"/>
              <w:bottom w:val="double" w:sz="4" w:space="0" w:color="000000"/>
              <w:right w:val="single" w:sz="6" w:space="0" w:color="000000"/>
            </w:tcBorders>
            <w:tcMar>
              <w:top w:w="8" w:type="dxa"/>
              <w:left w:w="108" w:type="dxa"/>
              <w:bottom w:w="8" w:type="dxa"/>
              <w:right w:w="108" w:type="dxa"/>
            </w:tcMar>
            <w:vAlign w:val="center"/>
          </w:tcPr>
          <w:p w14:paraId="606DF2E3" w14:textId="77777777" w:rsidR="00B37899" w:rsidRPr="006B4B89" w:rsidRDefault="00B37899" w:rsidP="007F1F1C">
            <w:r w:rsidRPr="006B4B89">
              <w:rPr>
                <w:rFonts w:eastAsia="Calibri"/>
              </w:rPr>
              <w:t xml:space="preserve">Employers receive a refundable tax credit for 100% of the eligible leave costs.  Credit applied as refund against employer’s total portion of Social Security taxes for the period. Health </w:t>
            </w:r>
            <w:r>
              <w:rPr>
                <w:rFonts w:eastAsia="Calibri"/>
              </w:rPr>
              <w:t>centers (but not PCAs/ HCCNs)</w:t>
            </w:r>
            <w:r w:rsidRPr="006B4B89">
              <w:rPr>
                <w:rFonts w:eastAsia="Calibri"/>
              </w:rPr>
              <w:t xml:space="preserve"> may deny leave to </w:t>
            </w:r>
            <w:r w:rsidRPr="006B4B89">
              <w:rPr>
                <w:rFonts w:eastAsia="Calibri"/>
                <w:b/>
                <w:bCs/>
              </w:rPr>
              <w:t xml:space="preserve">all </w:t>
            </w:r>
            <w:r w:rsidRPr="006B4B89">
              <w:rPr>
                <w:rFonts w:eastAsia="Calibri"/>
              </w:rPr>
              <w:t>employees.</w:t>
            </w:r>
          </w:p>
        </w:tc>
        <w:tc>
          <w:tcPr>
            <w:tcW w:w="1890" w:type="dxa"/>
            <w:tcBorders>
              <w:top w:val="single" w:sz="6" w:space="0" w:color="000000"/>
              <w:left w:val="single" w:sz="6" w:space="0" w:color="000000"/>
              <w:bottom w:val="double" w:sz="4" w:space="0" w:color="000000"/>
            </w:tcBorders>
            <w:tcMar>
              <w:top w:w="8" w:type="dxa"/>
              <w:left w:w="108" w:type="dxa"/>
              <w:bottom w:w="8" w:type="dxa"/>
              <w:right w:w="108" w:type="dxa"/>
            </w:tcMar>
            <w:vAlign w:val="center"/>
          </w:tcPr>
          <w:p w14:paraId="750BC5E7" w14:textId="77777777" w:rsidR="00B37899" w:rsidRPr="006B4B89" w:rsidRDefault="00853E31" w:rsidP="007F1F1C">
            <w:pPr>
              <w:rPr>
                <w:color w:val="000000"/>
                <w:sz w:val="22"/>
                <w:szCs w:val="22"/>
              </w:rPr>
            </w:pPr>
            <w:hyperlink r:id="rId27" w:history="1">
              <w:r w:rsidR="00B37899" w:rsidRPr="006B4B89">
                <w:rPr>
                  <w:rFonts w:eastAsia="Calibri"/>
                  <w:color w:val="0563C1"/>
                  <w:sz w:val="22"/>
                  <w:szCs w:val="22"/>
                  <w:u w:val="single" w:color="0563C1"/>
                </w:rPr>
                <w:t>General information on leave</w:t>
              </w:r>
            </w:hyperlink>
            <w:hyperlink r:id="rId28" w:history="1">
              <w:r w:rsidR="00B37899" w:rsidRPr="006B4B89">
                <w:rPr>
                  <w:rFonts w:eastAsia="Calibri"/>
                  <w:color w:val="0563C1"/>
                  <w:sz w:val="22"/>
                  <w:szCs w:val="22"/>
                  <w:u w:val="single" w:color="0563C1"/>
                </w:rPr>
                <w:t xml:space="preserve"> programs </w:t>
              </w:r>
            </w:hyperlink>
          </w:p>
          <w:p w14:paraId="5FB42E25" w14:textId="77777777" w:rsidR="00B37899" w:rsidRPr="006B4B89" w:rsidRDefault="00B37899" w:rsidP="007F1F1C"/>
          <w:p w14:paraId="1E5B2BC4" w14:textId="77777777" w:rsidR="00B37899" w:rsidRPr="006B4B89" w:rsidRDefault="00853E31" w:rsidP="007F1F1C">
            <w:pPr>
              <w:rPr>
                <w:color w:val="000000"/>
                <w:sz w:val="22"/>
                <w:szCs w:val="22"/>
              </w:rPr>
            </w:pPr>
            <w:hyperlink r:id="rId29" w:history="1">
              <w:r w:rsidR="00B37899" w:rsidRPr="006B4B89">
                <w:rPr>
                  <w:rFonts w:eastAsia="Calibri"/>
                  <w:color w:val="0563C1"/>
                  <w:sz w:val="22"/>
                  <w:szCs w:val="22"/>
                  <w:u w:val="single" w:color="0563C1"/>
                </w:rPr>
                <w:t>Questions and answers on leave provisions</w:t>
              </w:r>
            </w:hyperlink>
            <w:r w:rsidR="00B37899" w:rsidRPr="006B4B89">
              <w:rPr>
                <w:rFonts w:eastAsia="Calibri"/>
                <w:color w:val="000000"/>
                <w:sz w:val="22"/>
                <w:szCs w:val="22"/>
              </w:rPr>
              <w:t xml:space="preserve"> </w:t>
            </w:r>
          </w:p>
        </w:tc>
        <w:tc>
          <w:tcPr>
            <w:tcW w:w="3510" w:type="dxa"/>
            <w:tcBorders>
              <w:top w:val="single" w:sz="6" w:space="0" w:color="000000"/>
              <w:left w:val="single" w:sz="6" w:space="0" w:color="000000"/>
              <w:bottom w:val="double" w:sz="4" w:space="0" w:color="000000"/>
              <w:right w:val="single" w:sz="6" w:space="0" w:color="000000"/>
            </w:tcBorders>
          </w:tcPr>
          <w:p w14:paraId="2AAACE61" w14:textId="77777777" w:rsidR="00B37899" w:rsidRPr="006B4B89" w:rsidRDefault="00B37899" w:rsidP="007F1F1C"/>
        </w:tc>
      </w:tr>
    </w:tbl>
    <w:p w14:paraId="4D31F09D" w14:textId="77777777" w:rsidR="00B24361" w:rsidRDefault="00B24361" w:rsidP="007F1F1C">
      <w:bookmarkStart w:id="31" w:name="_Hlk37076634"/>
      <w:r>
        <w:br w:type="page"/>
      </w:r>
    </w:p>
    <w:p w14:paraId="0FE8A1A9" w14:textId="77777777" w:rsidR="00A61575" w:rsidRPr="00AF1717" w:rsidRDefault="00A61575" w:rsidP="007F1F1C">
      <w:pPr>
        <w:pStyle w:val="Heading2"/>
      </w:pPr>
      <w:bookmarkStart w:id="32" w:name="_Toc37850329"/>
      <w:bookmarkStart w:id="33" w:name="_Hlk37858649"/>
      <w:r w:rsidRPr="005A1B19">
        <w:lastRenderedPageBreak/>
        <w:t>Paycheck Protection Program (PPP) Loans</w:t>
      </w:r>
      <w:bookmarkEnd w:id="32"/>
    </w:p>
    <w:bookmarkEnd w:id="33"/>
    <w:p w14:paraId="6A8E9613" w14:textId="77777777" w:rsidR="00A61575" w:rsidRPr="00AD6A46" w:rsidRDefault="00A61575" w:rsidP="007F1F1C">
      <w:r>
        <w:t>Currently available only to employers with less than 500 employees</w:t>
      </w:r>
    </w:p>
    <w:p w14:paraId="7B205441" w14:textId="77777777" w:rsidR="00A61575" w:rsidRPr="005A1B19" w:rsidRDefault="00A61575" w:rsidP="007F1F1C"/>
    <w:p w14:paraId="224D3D66" w14:textId="77777777" w:rsidR="00A61575" w:rsidRPr="002D12C4" w:rsidRDefault="00A61575" w:rsidP="007F1F1C">
      <w:r w:rsidRPr="002D12C4">
        <w:rPr>
          <w:rFonts w:eastAsia="Calibri"/>
        </w:rPr>
        <w:t xml:space="preserve">The </w:t>
      </w:r>
      <w:hyperlink r:id="rId30" w:history="1">
        <w:r w:rsidRPr="002D12C4">
          <w:rPr>
            <w:rFonts w:eastAsia="Calibri"/>
            <w:color w:val="0563C1"/>
            <w:u w:val="single" w:color="0563C1"/>
          </w:rPr>
          <w:t>Coronavirus Aid, Relief, and Economic Security (CARES) Act</w:t>
        </w:r>
      </w:hyperlink>
      <w:r w:rsidRPr="002D12C4">
        <w:rPr>
          <w:rFonts w:eastAsia="Calibri"/>
        </w:rPr>
        <w:t xml:space="preserve">, signed into law on March 27, 2020, sets aside $349 billion for small businesses, including health centers. CARES allows health centers with less than 500 employees to take out federally guaranteed loans through commercial banks, and may be </w:t>
      </w:r>
      <w:r w:rsidRPr="002D12C4">
        <w:rPr>
          <w:rFonts w:eastAsia="Calibri"/>
          <w:u w:val="single"/>
        </w:rPr>
        <w:t>fully forgivable</w:t>
      </w:r>
      <w:r w:rsidRPr="002D12C4">
        <w:rPr>
          <w:rFonts w:eastAsia="Calibri"/>
        </w:rPr>
        <w:t xml:space="preserve"> provided that health centers can demonstrate that the funds were used as intended. </w:t>
      </w:r>
    </w:p>
    <w:p w14:paraId="0839283B" w14:textId="77777777" w:rsidR="00A61575" w:rsidRPr="002D12C4" w:rsidRDefault="00A61575" w:rsidP="007F1F1C"/>
    <w:p w14:paraId="13C91F6D" w14:textId="77777777" w:rsidR="00A61575" w:rsidRPr="002D12C4" w:rsidRDefault="00A61575" w:rsidP="007F1F1C">
      <w:r w:rsidRPr="002D12C4">
        <w:rPr>
          <w:rFonts w:eastAsia="Calibri"/>
          <w:i/>
          <w:iCs/>
          <w:u w:val="single"/>
        </w:rPr>
        <w:t>Who qualifies?</w:t>
      </w:r>
      <w:r w:rsidR="002D12C4">
        <w:rPr>
          <w:rFonts w:eastAsia="Calibri"/>
          <w:i/>
          <w:iCs/>
        </w:rPr>
        <w:t xml:space="preserve">  </w:t>
      </w:r>
      <w:r w:rsidRPr="002D12C4">
        <w:rPr>
          <w:rFonts w:eastAsia="Calibri"/>
        </w:rPr>
        <w:t>Small businesses - including health centers, PCAs, HCCNs, and NTTAPs - with up to 500 employees.</w:t>
      </w:r>
      <w:r w:rsidRPr="002D12C4">
        <w:rPr>
          <w:rFonts w:eastAsia="Calibri"/>
          <w:color w:val="000000"/>
          <w:vertAlign w:val="superscript"/>
        </w:rPr>
        <w:footnoteReference w:id="1"/>
      </w:r>
      <w:r w:rsidRPr="002D12C4">
        <w:rPr>
          <w:rFonts w:eastAsia="Calibri"/>
        </w:rPr>
        <w:t xml:space="preserve">  While employers in the hospitality and food industries are permitted to count employees on a per-site basis, this flexibility does not extend to health care providers.</w:t>
      </w:r>
    </w:p>
    <w:p w14:paraId="25C750B9" w14:textId="77777777" w:rsidR="00A61575" w:rsidRPr="002D12C4" w:rsidRDefault="00A61575" w:rsidP="007F1F1C"/>
    <w:p w14:paraId="6A707E8E" w14:textId="77777777" w:rsidR="00A61575" w:rsidRPr="002D12C4" w:rsidRDefault="00A61575" w:rsidP="007F1F1C">
      <w:pPr>
        <w:rPr>
          <w:i/>
          <w:iCs/>
          <w:u w:val="single"/>
        </w:rPr>
      </w:pPr>
      <w:r w:rsidRPr="002D12C4">
        <w:rPr>
          <w:rFonts w:eastAsia="Calibri"/>
          <w:i/>
          <w:iCs/>
          <w:u w:val="single"/>
        </w:rPr>
        <w:t>What are the terms?</w:t>
      </w:r>
    </w:p>
    <w:p w14:paraId="78B3F403" w14:textId="77777777" w:rsidR="00A61575" w:rsidRPr="002D12C4" w:rsidRDefault="00A61575" w:rsidP="007F1F1C">
      <w:pPr>
        <w:pStyle w:val="ListParagraph"/>
        <w:numPr>
          <w:ilvl w:val="0"/>
          <w:numId w:val="2"/>
        </w:numPr>
        <w:rPr>
          <w:sz w:val="24"/>
          <w:szCs w:val="24"/>
        </w:rPr>
      </w:pPr>
      <w:r w:rsidRPr="002D12C4">
        <w:rPr>
          <w:rFonts w:eastAsia="Calibri"/>
          <w:sz w:val="24"/>
          <w:szCs w:val="24"/>
        </w:rPr>
        <w:t xml:space="preserve">Loans may cover </w:t>
      </w:r>
      <w:r w:rsidRPr="002D12C4">
        <w:rPr>
          <w:rFonts w:eastAsia="Calibri"/>
          <w:sz w:val="24"/>
          <w:szCs w:val="24"/>
          <w:u w:val="single"/>
        </w:rPr>
        <w:t>any</w:t>
      </w:r>
      <w:r w:rsidRPr="002D12C4">
        <w:rPr>
          <w:rFonts w:eastAsia="Calibri"/>
          <w:sz w:val="24"/>
          <w:szCs w:val="24"/>
        </w:rPr>
        <w:t xml:space="preserve"> aspect of employee compensation, as well as mortgage</w:t>
      </w:r>
      <w:r w:rsidRPr="002D12C4">
        <w:rPr>
          <w:rStyle w:val="FootnoteReference"/>
          <w:rFonts w:eastAsia="Calibri" w:cstheme="minorHAnsi"/>
          <w:sz w:val="24"/>
          <w:szCs w:val="24"/>
        </w:rPr>
        <w:footnoteReference w:id="2"/>
      </w:r>
      <w:r w:rsidRPr="002D12C4">
        <w:rPr>
          <w:rFonts w:eastAsia="Calibri"/>
          <w:sz w:val="24"/>
          <w:szCs w:val="24"/>
        </w:rPr>
        <w:t>, rent, and utilities incurred between February 15, 2020 and June 30, 2020.</w:t>
      </w:r>
    </w:p>
    <w:p w14:paraId="2AA4FC8B" w14:textId="77777777" w:rsidR="00A61575" w:rsidRPr="002D12C4" w:rsidRDefault="00A61575" w:rsidP="007F1F1C">
      <w:pPr>
        <w:pStyle w:val="ListParagraph"/>
        <w:numPr>
          <w:ilvl w:val="1"/>
          <w:numId w:val="2"/>
        </w:numPr>
        <w:rPr>
          <w:sz w:val="24"/>
          <w:szCs w:val="24"/>
        </w:rPr>
      </w:pPr>
      <w:r w:rsidRPr="002D12C4">
        <w:rPr>
          <w:sz w:val="24"/>
          <w:szCs w:val="24"/>
        </w:rPr>
        <w:t>Payroll costs for an individual employee are limited to $100,000 per year, prorated for the period of the loan.</w:t>
      </w:r>
    </w:p>
    <w:p w14:paraId="1679383D" w14:textId="77777777" w:rsidR="00A61575" w:rsidRPr="002D12C4" w:rsidRDefault="00A61575" w:rsidP="007F1F1C">
      <w:pPr>
        <w:pStyle w:val="ListParagraph"/>
        <w:numPr>
          <w:ilvl w:val="0"/>
          <w:numId w:val="3"/>
        </w:numPr>
        <w:rPr>
          <w:sz w:val="24"/>
          <w:szCs w:val="24"/>
        </w:rPr>
      </w:pPr>
      <w:r w:rsidRPr="002D12C4">
        <w:rPr>
          <w:rFonts w:eastAsia="Calibri"/>
          <w:sz w:val="24"/>
          <w:szCs w:val="24"/>
        </w:rPr>
        <w:t xml:space="preserve">The amount any small business is eligible to borrow is 250 percent of their average monthly payroll expenses (subject to the limit above), up to a total of $10 million. This amount is intended to cover 8 weeks of payroll expenses and any additional amounts for making payments towards debt obligations. </w:t>
      </w:r>
    </w:p>
    <w:p w14:paraId="436F4A89" w14:textId="77777777" w:rsidR="00A61575" w:rsidRPr="002D12C4" w:rsidRDefault="00A61575" w:rsidP="007F1F1C">
      <w:pPr>
        <w:pStyle w:val="ListParagraph"/>
        <w:numPr>
          <w:ilvl w:val="0"/>
          <w:numId w:val="3"/>
        </w:numPr>
        <w:rPr>
          <w:sz w:val="24"/>
          <w:szCs w:val="24"/>
        </w:rPr>
      </w:pPr>
      <w:r w:rsidRPr="002D12C4">
        <w:rPr>
          <w:rFonts w:eastAsia="Calibri"/>
          <w:sz w:val="24"/>
          <w:szCs w:val="24"/>
        </w:rPr>
        <w:t xml:space="preserve">Maximum interest rate is 1%, with no fees.  (While the statute allowed a maximum interest rate of 4%, on April 2 the Department of the Treasury set the rate at 1%.)  </w:t>
      </w:r>
    </w:p>
    <w:p w14:paraId="1F8B4376" w14:textId="77777777" w:rsidR="00A61575" w:rsidRPr="002D12C4" w:rsidRDefault="00A61575" w:rsidP="007F1F1C">
      <w:pPr>
        <w:pStyle w:val="ListParagraph"/>
        <w:numPr>
          <w:ilvl w:val="0"/>
          <w:numId w:val="3"/>
        </w:numPr>
        <w:rPr>
          <w:sz w:val="24"/>
          <w:szCs w:val="24"/>
        </w:rPr>
      </w:pPr>
      <w:r w:rsidRPr="002D12C4">
        <w:rPr>
          <w:rFonts w:eastAsia="Calibri"/>
          <w:sz w:val="24"/>
          <w:szCs w:val="24"/>
        </w:rPr>
        <w:t xml:space="preserve">Payroll costs include employee salaries (up to an annual rate of pay of $100,000), hourly wages and cash tips, paid sick or medical leave, and group health insurance premiums. </w:t>
      </w:r>
    </w:p>
    <w:p w14:paraId="3CA7C99A" w14:textId="77777777" w:rsidR="00A61575" w:rsidRPr="002D12C4" w:rsidRDefault="00A61575" w:rsidP="007F1F1C">
      <w:pPr>
        <w:pStyle w:val="ListParagraph"/>
        <w:numPr>
          <w:ilvl w:val="0"/>
          <w:numId w:val="3"/>
        </w:numPr>
        <w:rPr>
          <w:sz w:val="24"/>
          <w:szCs w:val="24"/>
        </w:rPr>
      </w:pPr>
      <w:r w:rsidRPr="002D12C4">
        <w:rPr>
          <w:rFonts w:eastAsia="Calibri"/>
          <w:sz w:val="24"/>
          <w:szCs w:val="24"/>
        </w:rPr>
        <w:t>Requires lenders to defer all payments including principal, interest, and fees for no less than 6 months and no more than 1 year.</w:t>
      </w:r>
    </w:p>
    <w:p w14:paraId="0BEDFA95" w14:textId="77777777" w:rsidR="00A61575" w:rsidRPr="002D12C4" w:rsidRDefault="00A61575" w:rsidP="007F1F1C">
      <w:pPr>
        <w:pStyle w:val="ListParagraph"/>
        <w:numPr>
          <w:ilvl w:val="0"/>
          <w:numId w:val="3"/>
        </w:numPr>
        <w:rPr>
          <w:sz w:val="24"/>
          <w:szCs w:val="24"/>
        </w:rPr>
      </w:pPr>
      <w:r w:rsidRPr="002D12C4">
        <w:rPr>
          <w:rFonts w:eastAsia="Calibri"/>
          <w:sz w:val="24"/>
          <w:szCs w:val="24"/>
        </w:rPr>
        <w:t xml:space="preserve">If you received an EIDL loan related to COVID-19 between January 31, 2020 and the date at which the PPP becomes available, you may refinance the EIDL into the PPP for loan forgiveness purposes. However, you may not take out an EIDL and a PPP for the same purposes. Remaining portions of the EIDL, for purposes other than those laid out in loan forgiveness terms for a PPP loan, would remain a loan. </w:t>
      </w:r>
    </w:p>
    <w:p w14:paraId="43B2CD3E" w14:textId="77777777" w:rsidR="00A61575" w:rsidRPr="002D12C4" w:rsidRDefault="00A61575" w:rsidP="007F1F1C">
      <w:pPr>
        <w:pStyle w:val="ListParagraph"/>
        <w:numPr>
          <w:ilvl w:val="0"/>
          <w:numId w:val="3"/>
        </w:numPr>
        <w:rPr>
          <w:sz w:val="24"/>
          <w:szCs w:val="24"/>
        </w:rPr>
      </w:pPr>
      <w:r w:rsidRPr="002D12C4">
        <w:rPr>
          <w:rFonts w:eastAsia="Calibri"/>
          <w:sz w:val="24"/>
          <w:szCs w:val="24"/>
        </w:rPr>
        <w:lastRenderedPageBreak/>
        <w:t>If you took advantage of an emergency EIDL grant award of up to $10,000, that amount would be subtracted from the amount forgiven under PPP.</w:t>
      </w:r>
    </w:p>
    <w:p w14:paraId="3D789652" w14:textId="77777777" w:rsidR="00A61575" w:rsidRPr="004F5549" w:rsidRDefault="00A61575" w:rsidP="007F1F1C"/>
    <w:p w14:paraId="562B969D" w14:textId="77777777" w:rsidR="00A61575" w:rsidRPr="002D12C4" w:rsidRDefault="00A61575" w:rsidP="007F1F1C">
      <w:pPr>
        <w:rPr>
          <w:i/>
          <w:iCs/>
          <w:u w:val="single"/>
        </w:rPr>
      </w:pPr>
      <w:r w:rsidRPr="002D12C4">
        <w:rPr>
          <w:rFonts w:eastAsia="Calibri"/>
          <w:i/>
          <w:iCs/>
          <w:u w:val="single"/>
        </w:rPr>
        <w:t>About loan forgiveness</w:t>
      </w:r>
    </w:p>
    <w:p w14:paraId="613DE22B" w14:textId="77777777" w:rsidR="00A61575" w:rsidRPr="008E5242" w:rsidRDefault="00A61575" w:rsidP="007F1F1C">
      <w:pPr>
        <w:pStyle w:val="ListParagraph"/>
        <w:numPr>
          <w:ilvl w:val="0"/>
          <w:numId w:val="4"/>
        </w:numPr>
        <w:rPr>
          <w:sz w:val="24"/>
          <w:szCs w:val="24"/>
        </w:rPr>
      </w:pPr>
      <w:r w:rsidRPr="008E5242">
        <w:rPr>
          <w:sz w:val="24"/>
          <w:szCs w:val="24"/>
        </w:rPr>
        <w:t>The loan amounts will be forgiven as long as:</w:t>
      </w:r>
    </w:p>
    <w:p w14:paraId="1E1A835C" w14:textId="77777777" w:rsidR="00A61575" w:rsidRPr="008E5242" w:rsidRDefault="00A61575" w:rsidP="007F1F1C">
      <w:pPr>
        <w:pStyle w:val="ListParagraph"/>
        <w:numPr>
          <w:ilvl w:val="0"/>
          <w:numId w:val="11"/>
        </w:numPr>
        <w:rPr>
          <w:sz w:val="24"/>
          <w:szCs w:val="24"/>
        </w:rPr>
      </w:pPr>
      <w:r w:rsidRPr="008E5242">
        <w:rPr>
          <w:sz w:val="24"/>
          <w:szCs w:val="24"/>
        </w:rPr>
        <w:t xml:space="preserve">The loan proceeds are used to cover payroll costs, and most mortgage interest, rent, and utility costs over the 8-week period after the loan is made; and </w:t>
      </w:r>
    </w:p>
    <w:p w14:paraId="7A2E1DEF" w14:textId="77777777" w:rsidR="00A61575" w:rsidRPr="008E5242" w:rsidRDefault="00A61575" w:rsidP="007F1F1C">
      <w:pPr>
        <w:pStyle w:val="ListParagraph"/>
        <w:numPr>
          <w:ilvl w:val="0"/>
          <w:numId w:val="11"/>
        </w:numPr>
        <w:rPr>
          <w:sz w:val="24"/>
          <w:szCs w:val="24"/>
        </w:rPr>
      </w:pPr>
      <w:r w:rsidRPr="008E5242">
        <w:rPr>
          <w:sz w:val="24"/>
          <w:szCs w:val="24"/>
        </w:rPr>
        <w:t>Employee and compensation levels are maintained. Due to likely high subscription, it is anticipated that not more than 25% of the forgiven amount may be for non-payroll costs.</w:t>
      </w:r>
    </w:p>
    <w:p w14:paraId="563F5EE5" w14:textId="77777777" w:rsidR="00A61575" w:rsidRPr="008E5242" w:rsidRDefault="00A61575" w:rsidP="007F1F1C">
      <w:pPr>
        <w:pStyle w:val="ListParagraph"/>
        <w:numPr>
          <w:ilvl w:val="0"/>
          <w:numId w:val="4"/>
        </w:numPr>
        <w:rPr>
          <w:sz w:val="24"/>
          <w:szCs w:val="24"/>
        </w:rPr>
      </w:pPr>
      <w:r w:rsidRPr="008E5242">
        <w:rPr>
          <w:rFonts w:eastAsia="Calibri"/>
          <w:sz w:val="24"/>
          <w:szCs w:val="24"/>
        </w:rPr>
        <w:t xml:space="preserve">Borrowers will work with lenders for any documentation. The amount of principal that may be forgiven is equal to the sum of expenses for payroll, and existing </w:t>
      </w:r>
      <w:r w:rsidRPr="008E5242">
        <w:rPr>
          <w:rFonts w:eastAsia="Calibri"/>
          <w:i/>
          <w:iCs/>
          <w:sz w:val="24"/>
          <w:szCs w:val="24"/>
        </w:rPr>
        <w:t>interest payments</w:t>
      </w:r>
      <w:r w:rsidRPr="008E5242">
        <w:rPr>
          <w:rFonts w:eastAsia="Calibri"/>
          <w:sz w:val="24"/>
          <w:szCs w:val="24"/>
        </w:rPr>
        <w:t xml:space="preserve"> on mortgages (but not principal), rent payments, leases, and utility service agreements. </w:t>
      </w:r>
    </w:p>
    <w:p w14:paraId="582867CF" w14:textId="77777777" w:rsidR="00A61575" w:rsidRPr="008E5242" w:rsidRDefault="00A61575" w:rsidP="007F1F1C">
      <w:pPr>
        <w:pStyle w:val="ListParagraph"/>
        <w:numPr>
          <w:ilvl w:val="0"/>
          <w:numId w:val="4"/>
        </w:numPr>
        <w:rPr>
          <w:sz w:val="24"/>
          <w:szCs w:val="24"/>
        </w:rPr>
      </w:pPr>
      <w:r w:rsidRPr="008E5242">
        <w:rPr>
          <w:rFonts w:eastAsia="Calibri"/>
          <w:sz w:val="24"/>
          <w:szCs w:val="24"/>
        </w:rPr>
        <w:t xml:space="preserve">If you </w:t>
      </w:r>
      <w:r w:rsidR="00792FAF">
        <w:rPr>
          <w:rFonts w:eastAsia="Calibri"/>
          <w:sz w:val="24"/>
          <w:szCs w:val="24"/>
        </w:rPr>
        <w:t xml:space="preserve">plan </w:t>
      </w:r>
      <w:r w:rsidRPr="008E5242">
        <w:rPr>
          <w:rFonts w:eastAsia="Calibri"/>
          <w:sz w:val="24"/>
          <w:szCs w:val="24"/>
        </w:rPr>
        <w:t>to use the Paycheck Protection Program for other business-related expenses, like inventory, you can, but that portion of the loan will not be forgiven.</w:t>
      </w:r>
    </w:p>
    <w:p w14:paraId="21234A44" w14:textId="77777777" w:rsidR="00A61575" w:rsidRPr="008E5242" w:rsidRDefault="00A61575" w:rsidP="007F1F1C">
      <w:pPr>
        <w:pStyle w:val="ListParagraph"/>
        <w:numPr>
          <w:ilvl w:val="0"/>
          <w:numId w:val="4"/>
        </w:numPr>
        <w:rPr>
          <w:sz w:val="24"/>
          <w:szCs w:val="24"/>
        </w:rPr>
      </w:pPr>
      <w:r w:rsidRPr="008E5242">
        <w:rPr>
          <w:rFonts w:eastAsia="Calibri"/>
          <w:sz w:val="24"/>
          <w:szCs w:val="24"/>
        </w:rPr>
        <w:t>If your total payroll expenses on workers making less than $100,000 annually decreases by more than 25 percent, loan forgiveness will be reduced by the same amount. If you have already laid off some employees, you can still be forgiven for the full amount of your payroll cost</w:t>
      </w:r>
      <w:r w:rsidR="00792FAF">
        <w:rPr>
          <w:rFonts w:eastAsia="Calibri"/>
          <w:sz w:val="24"/>
          <w:szCs w:val="24"/>
        </w:rPr>
        <w:t>,</w:t>
      </w:r>
      <w:r w:rsidRPr="008E5242">
        <w:rPr>
          <w:rFonts w:eastAsia="Calibri"/>
          <w:sz w:val="24"/>
          <w:szCs w:val="24"/>
        </w:rPr>
        <w:t xml:space="preserve"> if you rehire your employees by June 30, 2020.</w:t>
      </w:r>
    </w:p>
    <w:p w14:paraId="61E4D2EA" w14:textId="77777777" w:rsidR="00A61575" w:rsidRPr="008E5242" w:rsidRDefault="00A61575" w:rsidP="007F1F1C"/>
    <w:p w14:paraId="227C4E66" w14:textId="77777777" w:rsidR="00A61575" w:rsidRPr="002D12C4" w:rsidRDefault="00A61575" w:rsidP="007F1F1C">
      <w:pPr>
        <w:rPr>
          <w:rFonts w:eastAsia="Calibri"/>
          <w:i/>
          <w:iCs/>
          <w:u w:val="single"/>
        </w:rPr>
      </w:pPr>
      <w:r w:rsidRPr="002D12C4">
        <w:rPr>
          <w:rFonts w:eastAsia="Calibri"/>
          <w:i/>
          <w:iCs/>
          <w:u w:val="single"/>
        </w:rPr>
        <w:t xml:space="preserve">How do I apply?  </w:t>
      </w:r>
    </w:p>
    <w:p w14:paraId="15D86E68" w14:textId="77777777" w:rsidR="00A61575" w:rsidRPr="008E5242" w:rsidRDefault="00A61575" w:rsidP="007F1F1C">
      <w:pPr>
        <w:pStyle w:val="ListParagraph"/>
        <w:numPr>
          <w:ilvl w:val="0"/>
          <w:numId w:val="14"/>
        </w:numPr>
        <w:rPr>
          <w:rFonts w:eastAsia="Calibri"/>
          <w:sz w:val="24"/>
          <w:szCs w:val="24"/>
        </w:rPr>
      </w:pPr>
      <w:r w:rsidRPr="008E5242">
        <w:rPr>
          <w:rFonts w:eastAsia="Calibri"/>
          <w:sz w:val="24"/>
          <w:szCs w:val="24"/>
        </w:rPr>
        <w:t xml:space="preserve">Call your bank or find SBA-approved lenders in your area through SBA’s </w:t>
      </w:r>
      <w:hyperlink r:id="rId31" w:history="1">
        <w:r w:rsidRPr="008E5242">
          <w:rPr>
            <w:rFonts w:eastAsia="Calibri"/>
            <w:color w:val="0563C1"/>
            <w:sz w:val="24"/>
            <w:szCs w:val="24"/>
          </w:rPr>
          <w:t>Lender Match</w:t>
        </w:r>
      </w:hyperlink>
      <w:r w:rsidRPr="008E5242">
        <w:rPr>
          <w:rFonts w:eastAsia="Calibri"/>
          <w:sz w:val="24"/>
          <w:szCs w:val="24"/>
        </w:rPr>
        <w:t xml:space="preserve"> tool. </w:t>
      </w:r>
      <w:r w:rsidR="00792FAF">
        <w:rPr>
          <w:rFonts w:eastAsia="Calibri"/>
          <w:sz w:val="24"/>
          <w:szCs w:val="24"/>
        </w:rPr>
        <w:t xml:space="preserve"> </w:t>
      </w:r>
      <w:r w:rsidRPr="008E5242">
        <w:rPr>
          <w:rFonts w:eastAsia="Calibri"/>
          <w:sz w:val="24"/>
          <w:szCs w:val="24"/>
        </w:rPr>
        <w:t xml:space="preserve">For help, call your local </w:t>
      </w:r>
      <w:hyperlink r:id="rId32" w:history="1">
        <w:r w:rsidRPr="008E5242">
          <w:rPr>
            <w:rFonts w:eastAsia="Calibri"/>
            <w:color w:val="0563C1"/>
            <w:sz w:val="24"/>
            <w:szCs w:val="24"/>
          </w:rPr>
          <w:t>Small Business Development Center</w:t>
        </w:r>
      </w:hyperlink>
      <w:r w:rsidRPr="008E5242">
        <w:rPr>
          <w:rFonts w:eastAsia="Calibri"/>
          <w:sz w:val="24"/>
          <w:szCs w:val="24"/>
        </w:rPr>
        <w:t xml:space="preserve">. </w:t>
      </w:r>
    </w:p>
    <w:p w14:paraId="2B104CF8" w14:textId="77777777" w:rsidR="00A61575" w:rsidRPr="008E5242" w:rsidRDefault="00A61575" w:rsidP="007F1F1C">
      <w:pPr>
        <w:pStyle w:val="ListParagraph"/>
        <w:numPr>
          <w:ilvl w:val="0"/>
          <w:numId w:val="14"/>
        </w:numPr>
        <w:rPr>
          <w:sz w:val="24"/>
          <w:szCs w:val="24"/>
        </w:rPr>
      </w:pPr>
      <w:r w:rsidRPr="008E5242">
        <w:rPr>
          <w:sz w:val="24"/>
          <w:szCs w:val="24"/>
        </w:rPr>
        <w:t xml:space="preserve">To date, health centers have generally had more success working with smaller, regional banks – particularly those with whom they have an existing relationship – than with the larger national banks.  </w:t>
      </w:r>
    </w:p>
    <w:p w14:paraId="2B65A0FC" w14:textId="77777777" w:rsidR="00A61575" w:rsidRPr="008E5242" w:rsidRDefault="00853E31" w:rsidP="007F1F1C">
      <w:pPr>
        <w:pStyle w:val="ListParagraph"/>
        <w:numPr>
          <w:ilvl w:val="0"/>
          <w:numId w:val="14"/>
        </w:numPr>
        <w:rPr>
          <w:rFonts w:eastAsia="Calibri"/>
          <w:sz w:val="24"/>
          <w:szCs w:val="24"/>
        </w:rPr>
      </w:pPr>
      <w:hyperlink r:id="rId33" w:history="1">
        <w:r w:rsidR="00A61575" w:rsidRPr="008E5242">
          <w:rPr>
            <w:rStyle w:val="Hyperlink"/>
            <w:rFonts w:cstheme="minorHAnsi"/>
            <w:sz w:val="24"/>
            <w:szCs w:val="24"/>
          </w:rPr>
          <w:t>Capital Link</w:t>
        </w:r>
      </w:hyperlink>
      <w:r w:rsidR="00A61575" w:rsidRPr="008E5242">
        <w:rPr>
          <w:sz w:val="24"/>
          <w:szCs w:val="24"/>
        </w:rPr>
        <w:t xml:space="preserve"> has been helping health centers find lenders who will work with them promptly.</w:t>
      </w:r>
    </w:p>
    <w:p w14:paraId="74DDA3AF" w14:textId="77777777" w:rsidR="00A61575" w:rsidRPr="008E5242" w:rsidRDefault="00A61575" w:rsidP="007F1F1C">
      <w:pPr>
        <w:rPr>
          <w:rFonts w:eastAsia="Calibri"/>
        </w:rPr>
      </w:pPr>
      <w:r w:rsidRPr="008E5242">
        <w:rPr>
          <w:rFonts w:eastAsia="Calibri"/>
          <w:i/>
          <w:iCs/>
          <w:u w:val="single"/>
        </w:rPr>
        <w:t>Is there a deadline for applying?</w:t>
      </w:r>
      <w:r w:rsidRPr="008E5242">
        <w:rPr>
          <w:rFonts w:eastAsia="Calibri"/>
        </w:rPr>
        <w:t xml:space="preserve">  Theoretically, the PPP program is available until June 30, 2020.  However, the program is disbursing funds on  first-come-first-serve basis, and within 5 days of starting to accept applications, the SBA was expressing concerns about running out of funds.  Congress is currently discussing the possibility of adding more funds.  </w:t>
      </w:r>
    </w:p>
    <w:p w14:paraId="75DD5CFE" w14:textId="77777777" w:rsidR="00A61575" w:rsidRPr="008E5242" w:rsidRDefault="00A61575" w:rsidP="007F1F1C">
      <w:pPr>
        <w:rPr>
          <w:rFonts w:eastAsia="Calibri"/>
        </w:rPr>
      </w:pPr>
    </w:p>
    <w:p w14:paraId="4845762E" w14:textId="77777777" w:rsidR="00A61575" w:rsidRPr="008E5242" w:rsidRDefault="00A61575" w:rsidP="007F1F1C">
      <w:pPr>
        <w:rPr>
          <w:rStyle w:val="Hyperlink"/>
        </w:rPr>
      </w:pPr>
      <w:r w:rsidRPr="008E5242">
        <w:rPr>
          <w:rFonts w:eastAsia="Calibri"/>
          <w:i/>
          <w:iCs/>
          <w:u w:val="single"/>
        </w:rPr>
        <w:t>What NAICS code should we use in our application?</w:t>
      </w:r>
      <w:r w:rsidRPr="008E5242">
        <w:rPr>
          <w:rFonts w:eastAsia="Calibri"/>
        </w:rPr>
        <w:t xml:space="preserve">  </w:t>
      </w:r>
      <w:r w:rsidRPr="008E5242">
        <w:rPr>
          <w:color w:val="333333"/>
          <w:shd w:val="clear" w:color="auto" w:fill="FFFFFF"/>
        </w:rPr>
        <w:t xml:space="preserve">The recommended NAICS code for FQHCs applying for SBA loan programs is 621498.  </w:t>
      </w:r>
      <w:r w:rsidRPr="008E5242">
        <w:t xml:space="preserve">The best code for PCAs is probably 813910. The descriptor is on the bottom of page 587 </w:t>
      </w:r>
      <w:hyperlink r:id="rId34" w:history="1">
        <w:r w:rsidRPr="008E5242">
          <w:rPr>
            <w:rStyle w:val="Hyperlink"/>
          </w:rPr>
          <w:t>here.</w:t>
        </w:r>
      </w:hyperlink>
    </w:p>
    <w:p w14:paraId="2BD3B0EF" w14:textId="77777777" w:rsidR="00A61575" w:rsidRPr="008E5242" w:rsidRDefault="00A61575" w:rsidP="007F1F1C">
      <w:pPr>
        <w:rPr>
          <w:rStyle w:val="Hyperlink"/>
        </w:rPr>
      </w:pPr>
    </w:p>
    <w:p w14:paraId="73377BB7" w14:textId="77777777" w:rsidR="00A61575" w:rsidRPr="008E5242" w:rsidRDefault="00A61575" w:rsidP="007F1F1C">
      <w:pPr>
        <w:rPr>
          <w:rFonts w:eastAsia="Calibri"/>
        </w:rPr>
      </w:pPr>
      <w:r w:rsidRPr="008E5242">
        <w:rPr>
          <w:rFonts w:eastAsia="Calibri"/>
          <w:i/>
          <w:iCs/>
          <w:u w:val="single"/>
        </w:rPr>
        <w:t>How is this program working to date?</w:t>
      </w:r>
      <w:r w:rsidRPr="008E5242">
        <w:rPr>
          <w:rFonts w:eastAsia="Calibri"/>
        </w:rPr>
        <w:t xml:space="preserve">  The program began accepting applications on April 3, and there is significant variation across health centers.  Some have received the loans quickly and easily, while others are still waiting to have their applications processed.  As noted above, health centers have generally had more success working with smaller, regional banks – particularly those with whom they have an existing relationship – than with the larger national banks.  There are also widespread concerns that this program may run out of funding soon.</w:t>
      </w:r>
    </w:p>
    <w:p w14:paraId="329212D8" w14:textId="77777777" w:rsidR="00A61575" w:rsidRPr="008E5242" w:rsidRDefault="00A61575" w:rsidP="007F1F1C">
      <w:pPr>
        <w:rPr>
          <w:rFonts w:eastAsia="Calibri"/>
        </w:rPr>
      </w:pPr>
    </w:p>
    <w:p w14:paraId="28E9A995" w14:textId="77777777" w:rsidR="00A61575" w:rsidRPr="008E5242" w:rsidRDefault="00A61575" w:rsidP="007F1F1C">
      <w:r w:rsidRPr="008E5242">
        <w:rPr>
          <w:rFonts w:eastAsia="Calibri"/>
          <w:i/>
          <w:iCs/>
          <w:u w:val="single"/>
        </w:rPr>
        <w:t>Any other suggestions?</w:t>
      </w:r>
      <w:r w:rsidRPr="008E5242">
        <w:rPr>
          <w:rFonts w:eastAsia="Calibri"/>
        </w:rPr>
        <w:t xml:space="preserve">  </w:t>
      </w:r>
      <w:r w:rsidRPr="008E5242">
        <w:t>The statute creating the Paycheck Protection Program indicates that applicants like health centers should receive priority in the process and disbursement of PPP Loans.  However, it appears that the SBA has not informed lenders about this priority, and therefore most lenders are not aware of it.  NACHC has already reached out to the SBA to insist that they inform lenders of these prioritization requirements ASAP.  However, given how quickly this program is being implemented, health centers applying for PPP loans may want to alert lenders themselves.  To assist with this, both the NACHC webpage and Noddlepod contain a letter to the SBA, which outlines both:</w:t>
      </w:r>
    </w:p>
    <w:p w14:paraId="271B8D0D" w14:textId="77777777" w:rsidR="00A61575" w:rsidRPr="008E5242" w:rsidRDefault="00A61575" w:rsidP="007F1F1C">
      <w:pPr>
        <w:pStyle w:val="NormalWeb"/>
        <w:numPr>
          <w:ilvl w:val="0"/>
          <w:numId w:val="15"/>
        </w:numPr>
      </w:pPr>
      <w:r w:rsidRPr="008E5242">
        <w:t>the language in the PPP law outlines the criteria for which borrowers get priority, and</w:t>
      </w:r>
    </w:p>
    <w:p w14:paraId="66FEEFFB" w14:textId="77777777" w:rsidR="00A61575" w:rsidRPr="008E5242" w:rsidRDefault="00A61575" w:rsidP="007F1F1C">
      <w:pPr>
        <w:pStyle w:val="NormalWeb"/>
        <w:numPr>
          <w:ilvl w:val="0"/>
          <w:numId w:val="15"/>
        </w:numPr>
      </w:pPr>
      <w:r w:rsidRPr="008E5242">
        <w:t>the language from Section 330 that demonstrates that health centers meet these criteria. </w:t>
      </w:r>
    </w:p>
    <w:p w14:paraId="5D495C3B" w14:textId="77777777" w:rsidR="00A61575" w:rsidRPr="008E5242" w:rsidRDefault="00A61575" w:rsidP="007F1F1C">
      <w:pPr>
        <w:rPr>
          <w:rFonts w:eastAsia="Calibri"/>
        </w:rPr>
      </w:pPr>
      <w:r w:rsidRPr="008E5242">
        <w:rPr>
          <w:rFonts w:eastAsia="Calibri"/>
        </w:rPr>
        <w:t xml:space="preserve">Health centers may want to attach this letter to their applications, to ensure that lenders are informed that they should receive priority.  </w:t>
      </w:r>
    </w:p>
    <w:p w14:paraId="62641A6C" w14:textId="77777777" w:rsidR="00A61575" w:rsidRPr="008E5242" w:rsidRDefault="00A61575" w:rsidP="007F1F1C">
      <w:pPr>
        <w:rPr>
          <w:rFonts w:eastAsia="Calibri"/>
        </w:rPr>
      </w:pPr>
    </w:p>
    <w:p w14:paraId="35569D04" w14:textId="77777777" w:rsidR="00A61575" w:rsidRPr="008E5242" w:rsidRDefault="00A61575" w:rsidP="007F1F1C">
      <w:pPr>
        <w:rPr>
          <w:rFonts w:eastAsia="Calibri"/>
          <w:u w:val="single"/>
        </w:rPr>
      </w:pPr>
      <w:r w:rsidRPr="008E5242">
        <w:rPr>
          <w:rFonts w:eastAsia="Calibri"/>
          <w:i/>
          <w:iCs/>
          <w:u w:val="single"/>
        </w:rPr>
        <w:t>Where can I get more information?</w:t>
      </w:r>
      <w:r w:rsidRPr="008E5242">
        <w:rPr>
          <w:rFonts w:eastAsia="Calibri"/>
          <w:i/>
          <w:iCs/>
        </w:rPr>
        <w:t xml:space="preserve">  </w:t>
      </w:r>
      <w:r w:rsidRPr="008E5242">
        <w:rPr>
          <w:rFonts w:eastAsia="Calibri"/>
        </w:rPr>
        <w:t xml:space="preserve">The Treasury Department has issued a </w:t>
      </w:r>
      <w:hyperlink r:id="rId35" w:history="1">
        <w:r w:rsidRPr="008E5242">
          <w:rPr>
            <w:rStyle w:val="Hyperlink"/>
          </w:rPr>
          <w:t>Fact Sheet</w:t>
        </w:r>
      </w:hyperlink>
      <w:r w:rsidRPr="008E5242">
        <w:rPr>
          <w:rFonts w:eastAsia="Calibri"/>
        </w:rPr>
        <w:t xml:space="preserve"> on the Paycheck Protection Program</w:t>
      </w:r>
      <w:r w:rsidR="00792FAF">
        <w:rPr>
          <w:rFonts w:eastAsia="Calibri"/>
        </w:rPr>
        <w:t>.</w:t>
      </w:r>
      <w:r w:rsidRPr="008E5242">
        <w:rPr>
          <w:rFonts w:eastAsia="Calibri"/>
          <w:u w:val="single"/>
        </w:rPr>
        <w:t xml:space="preserve">  </w:t>
      </w:r>
    </w:p>
    <w:p w14:paraId="56D27EFD" w14:textId="77777777" w:rsidR="00A61575" w:rsidRPr="008E5242" w:rsidRDefault="00A61575" w:rsidP="007F1F1C">
      <w:pPr>
        <w:rPr>
          <w:rFonts w:eastAsia="Calibri"/>
        </w:rPr>
      </w:pPr>
    </w:p>
    <w:p w14:paraId="645E9643" w14:textId="77777777" w:rsidR="00A61575" w:rsidRPr="008E5242" w:rsidRDefault="00A61575" w:rsidP="007F1F1C">
      <w:pPr>
        <w:rPr>
          <w:rFonts w:eastAsia="Calibri"/>
        </w:rPr>
      </w:pPr>
    </w:p>
    <w:p w14:paraId="1BB766D4" w14:textId="77777777" w:rsidR="00A61575" w:rsidRPr="008E5242" w:rsidRDefault="00A61575" w:rsidP="007F1F1C"/>
    <w:p w14:paraId="65F0885D" w14:textId="77777777" w:rsidR="00A61575" w:rsidRPr="008E5242" w:rsidRDefault="00A61575" w:rsidP="007F1F1C">
      <w:pPr>
        <w:rPr>
          <w:rFonts w:ascii="Calibri" w:eastAsia="Calibri" w:hAnsi="Calibri" w:cs="Calibri"/>
        </w:rPr>
      </w:pPr>
      <w:r w:rsidRPr="008E5242">
        <w:br w:type="page"/>
      </w:r>
    </w:p>
    <w:p w14:paraId="57AC3E36" w14:textId="77777777" w:rsidR="00A61575" w:rsidRDefault="00A61575" w:rsidP="007F1F1C">
      <w:pPr>
        <w:pStyle w:val="Heading2"/>
      </w:pPr>
      <w:bookmarkStart w:id="34" w:name="_Toc37850330"/>
      <w:bookmarkStart w:id="35" w:name="_Hlk37858650"/>
      <w:r>
        <w:lastRenderedPageBreak/>
        <w:t>Federal Tax Credits for Emergency Paid Sick Leave and Emergency Family Leave</w:t>
      </w:r>
      <w:bookmarkEnd w:id="34"/>
    </w:p>
    <w:bookmarkEnd w:id="35"/>
    <w:p w14:paraId="05DB8313" w14:textId="77777777" w:rsidR="00A61575" w:rsidRPr="008E5242" w:rsidRDefault="00A61575" w:rsidP="008E5242">
      <w:pPr>
        <w:jc w:val="center"/>
        <w:rPr>
          <w:i/>
          <w:iCs/>
        </w:rPr>
      </w:pPr>
      <w:r w:rsidRPr="008E5242">
        <w:rPr>
          <w:i/>
          <w:iCs/>
        </w:rPr>
        <w:t>Available only to employers with less than 500 employees</w:t>
      </w:r>
    </w:p>
    <w:p w14:paraId="51402121" w14:textId="77777777" w:rsidR="00A61575" w:rsidRDefault="00A61575" w:rsidP="007F1F1C"/>
    <w:p w14:paraId="2443D5CB" w14:textId="77777777" w:rsidR="00A61575" w:rsidRDefault="00853E31" w:rsidP="007F1F1C">
      <w:hyperlink r:id="rId36" w:history="1">
        <w:r w:rsidR="00A61575">
          <w:rPr>
            <w:rFonts w:eastAsia="Calibri"/>
            <w:color w:val="0563C1"/>
            <w:u w:val="single" w:color="0563C1"/>
          </w:rPr>
          <w:t>The Families First Coronavirus Response Act</w:t>
        </w:r>
      </w:hyperlink>
      <w:r w:rsidR="00A61575">
        <w:rPr>
          <w:rFonts w:eastAsia="Calibri"/>
        </w:rPr>
        <w:t xml:space="preserve"> (FFCRA), signed into law on March 18, created two new temporary types of emergency leave for workers impacted by COVID-19.  This leave became effective on April 1, 2020.  The Department of Labor (DOL) is overseeing this program.</w:t>
      </w:r>
    </w:p>
    <w:p w14:paraId="596D8850" w14:textId="77777777" w:rsidR="00A61575" w:rsidRDefault="00A61575" w:rsidP="007F1F1C"/>
    <w:p w14:paraId="5A134E69" w14:textId="77777777" w:rsidR="00A61575" w:rsidRPr="00397D6B" w:rsidRDefault="00A61575" w:rsidP="007F1F1C">
      <w:pPr>
        <w:rPr>
          <w:rFonts w:eastAsia="Calibri"/>
        </w:rPr>
      </w:pPr>
      <w:r>
        <w:rPr>
          <w:rFonts w:eastAsia="Calibri"/>
          <w:i/>
          <w:iCs/>
          <w:u w:val="single"/>
        </w:rPr>
        <w:t>Which employers must offer this type of leave?</w:t>
      </w:r>
      <w:r>
        <w:rPr>
          <w:rFonts w:eastAsia="Calibri"/>
        </w:rPr>
        <w:t xml:space="preserve">  In general, employers with fewer than 500 employees are </w:t>
      </w:r>
      <w:r>
        <w:rPr>
          <w:rFonts w:eastAsia="Calibri"/>
          <w:u w:val="single"/>
        </w:rPr>
        <w:t>required</w:t>
      </w:r>
      <w:r>
        <w:rPr>
          <w:rFonts w:eastAsia="Calibri"/>
        </w:rPr>
        <w:t xml:space="preserve"> to offer these two types of leave. </w:t>
      </w:r>
      <w:r w:rsidRPr="00397D6B">
        <w:rPr>
          <w:rFonts w:eastAsia="Calibri"/>
        </w:rPr>
        <w:t xml:space="preserve">However, two types of businesses can </w:t>
      </w:r>
      <w:r w:rsidRPr="00397D6B">
        <w:rPr>
          <w:rFonts w:eastAsia="Calibri"/>
          <w:u w:val="single"/>
        </w:rPr>
        <w:t>choose</w:t>
      </w:r>
      <w:r w:rsidRPr="00397D6B">
        <w:rPr>
          <w:rFonts w:eastAsia="Calibri"/>
        </w:rPr>
        <w:t xml:space="preserve"> to be exempted:</w:t>
      </w:r>
    </w:p>
    <w:p w14:paraId="31B3FAD2" w14:textId="77777777" w:rsidR="00A61575" w:rsidRPr="00397D6B" w:rsidRDefault="00A61575" w:rsidP="007F1F1C">
      <w:pPr>
        <w:pStyle w:val="ListParagraph"/>
        <w:numPr>
          <w:ilvl w:val="0"/>
          <w:numId w:val="10"/>
        </w:numPr>
      </w:pPr>
      <w:r w:rsidRPr="00397D6B">
        <w:t>Businesses with less than 50 employees.</w:t>
      </w:r>
      <w:r w:rsidRPr="00397D6B">
        <w:rPr>
          <w:color w:val="000000"/>
          <w:vertAlign w:val="superscript"/>
        </w:rPr>
        <w:footnoteReference w:id="3"/>
      </w:r>
      <w:r w:rsidRPr="00397D6B">
        <w:t xml:space="preserve"> </w:t>
      </w:r>
    </w:p>
    <w:p w14:paraId="60AA1A9C" w14:textId="77777777" w:rsidR="00A61575" w:rsidRPr="00397D6B" w:rsidRDefault="00A61575" w:rsidP="007F1F1C">
      <w:pPr>
        <w:pStyle w:val="ListParagraph"/>
        <w:numPr>
          <w:ilvl w:val="0"/>
          <w:numId w:val="10"/>
        </w:numPr>
      </w:pPr>
      <w:r w:rsidRPr="00397D6B">
        <w:t>Health care employers</w:t>
      </w:r>
      <w:r>
        <w:t>, such as health centers</w:t>
      </w:r>
      <w:r w:rsidRPr="00397D6B">
        <w:t>.</w:t>
      </w:r>
    </w:p>
    <w:p w14:paraId="78CBC815" w14:textId="77777777" w:rsidR="00A61575" w:rsidRPr="00CE22C6" w:rsidRDefault="00A61575" w:rsidP="007F1F1C">
      <w:r>
        <w:t xml:space="preserve">Note that, per a DOL policy announced on March 29, health care employers can choose to deny Emergency Leave to </w:t>
      </w:r>
      <w:r>
        <w:rPr>
          <w:u w:val="single"/>
        </w:rPr>
        <w:t>all</w:t>
      </w:r>
      <w:r>
        <w:t xml:space="preserve"> their employees, not just those who are health care providers.    </w:t>
      </w:r>
    </w:p>
    <w:p w14:paraId="3CC7BFAC" w14:textId="77777777" w:rsidR="00A61575" w:rsidRDefault="00A61575" w:rsidP="007F1F1C"/>
    <w:p w14:paraId="5610EEA4" w14:textId="77777777" w:rsidR="00A61575" w:rsidRPr="00ED0170" w:rsidRDefault="00A61575" w:rsidP="007F1F1C">
      <w:pPr>
        <w:rPr>
          <w:i/>
          <w:iCs/>
          <w:u w:val="single"/>
        </w:rPr>
      </w:pPr>
      <w:r w:rsidRPr="00ED0170">
        <w:rPr>
          <w:rFonts w:eastAsia="Calibri"/>
          <w:i/>
          <w:iCs/>
          <w:u w:val="single"/>
        </w:rPr>
        <w:t>What are the terms?</w:t>
      </w:r>
    </w:p>
    <w:p w14:paraId="629FFC84" w14:textId="77777777" w:rsidR="00A61575" w:rsidRDefault="00A61575" w:rsidP="007F1F1C"/>
    <w:p w14:paraId="2EA74638" w14:textId="77777777" w:rsidR="00A61575" w:rsidRPr="00ED0170" w:rsidRDefault="00A61575" w:rsidP="007F1F1C">
      <w:pPr>
        <w:pStyle w:val="ListParagraph"/>
        <w:numPr>
          <w:ilvl w:val="0"/>
          <w:numId w:val="5"/>
        </w:numPr>
        <w:rPr>
          <w:sz w:val="24"/>
          <w:szCs w:val="24"/>
        </w:rPr>
      </w:pPr>
      <w:r w:rsidRPr="00ED0170">
        <w:rPr>
          <w:rFonts w:eastAsia="Calibri"/>
          <w:b/>
          <w:bCs/>
          <w:sz w:val="24"/>
          <w:szCs w:val="24"/>
        </w:rPr>
        <w:t>Emergency Paid Sick Leave:</w:t>
      </w:r>
      <w:r w:rsidRPr="00ED0170">
        <w:rPr>
          <w:rFonts w:eastAsia="Calibri"/>
          <w:sz w:val="24"/>
          <w:szCs w:val="24"/>
        </w:rPr>
        <w:t xml:space="preserve"> Two weeks (up to 80 hours) of paid sick leave at the employee’s regular rate of pay (up to $511/day) where the employee is unable to work because they are quarantined by a doctor or government authorities and/or experiencing COVID-19 symptoms and seeking a medical diagnosis. For employees who need to care for someone else, employers must offer two weeks of paid sick leave at two-thirds the employee’s regular rate of pay (up to $200/day). Employers are not required to pay more than the capped amounts. </w:t>
      </w:r>
    </w:p>
    <w:p w14:paraId="623DAC42" w14:textId="77777777" w:rsidR="00A61575" w:rsidRPr="00ED0170" w:rsidRDefault="00A61575" w:rsidP="007F1F1C">
      <w:pPr>
        <w:pStyle w:val="ListParagraph"/>
        <w:numPr>
          <w:ilvl w:val="0"/>
          <w:numId w:val="6"/>
        </w:numPr>
        <w:rPr>
          <w:sz w:val="24"/>
          <w:szCs w:val="24"/>
        </w:rPr>
      </w:pPr>
      <w:r w:rsidRPr="00ED0170">
        <w:rPr>
          <w:rFonts w:eastAsia="Calibri"/>
          <w:b/>
          <w:bCs/>
          <w:sz w:val="24"/>
          <w:szCs w:val="24"/>
        </w:rPr>
        <w:t>Emergency Family Leave:</w:t>
      </w:r>
      <w:r w:rsidRPr="00ED0170">
        <w:rPr>
          <w:rFonts w:eastAsia="Calibri"/>
          <w:sz w:val="24"/>
          <w:szCs w:val="24"/>
        </w:rPr>
        <w:t xml:space="preserve"> Up to an additional 10 weeks of paid expanded family leave, with employers not required to pay more than $200 per day and $10,000 in total.  The only employees who are eligible are those who are unable to telework </w:t>
      </w:r>
      <w:r w:rsidRPr="00ED0170">
        <w:rPr>
          <w:rFonts w:eastAsia="Calibri"/>
          <w:b/>
          <w:bCs/>
          <w:i/>
          <w:iCs/>
          <w:sz w:val="24"/>
          <w:szCs w:val="24"/>
        </w:rPr>
        <w:t>and</w:t>
      </w:r>
      <w:r w:rsidRPr="00ED0170">
        <w:rPr>
          <w:rFonts w:eastAsia="Calibri"/>
          <w:sz w:val="24"/>
          <w:szCs w:val="24"/>
        </w:rPr>
        <w:t xml:space="preserve"> who have a child under age 18 whose school or childcare provider is closed or unavailable due to COVID-19. </w:t>
      </w:r>
    </w:p>
    <w:p w14:paraId="7306389D" w14:textId="77777777" w:rsidR="00792FAF" w:rsidRPr="00ED0170" w:rsidRDefault="00792FAF" w:rsidP="007F1F1C"/>
    <w:p w14:paraId="50B6DAAB" w14:textId="77777777" w:rsidR="00A61575" w:rsidRDefault="00A61575" w:rsidP="007F1F1C">
      <w:r>
        <w:rPr>
          <w:rFonts w:eastAsia="Calibri"/>
          <w:i/>
          <w:iCs/>
          <w:u w:val="single"/>
        </w:rPr>
        <w:t>Who pays for Emergency Paid Sick Leave and Emergency Family Leave?</w:t>
      </w:r>
      <w:r>
        <w:rPr>
          <w:rFonts w:eastAsia="Calibri"/>
          <w:i/>
          <w:iCs/>
        </w:rPr>
        <w:t xml:space="preserve">  </w:t>
      </w:r>
      <w:r>
        <w:rPr>
          <w:rFonts w:eastAsia="Calibri"/>
        </w:rPr>
        <w:t xml:space="preserve">Employers must pay for their employees for this leave.  However, the Federal government will reimburse them for the full costs of the required leave, through refundable credits on the employer share of Social Security payroll taxes. Employers deduct the amount they paid for this leave from their payroll tax </w:t>
      </w:r>
      <w:r>
        <w:rPr>
          <w:rFonts w:eastAsia="Calibri"/>
        </w:rPr>
        <w:lastRenderedPageBreak/>
        <w:t xml:space="preserve">contributions on an employee’s pay and submit documentation.  The credits will cover the capped salary amounts described above, </w:t>
      </w:r>
      <w:r w:rsidRPr="00B35241">
        <w:rPr>
          <w:rFonts w:eastAsia="Calibri"/>
        </w:rPr>
        <w:t>as well as the employer’s health insurance premiums.</w:t>
      </w:r>
      <w:r>
        <w:rPr>
          <w:rFonts w:eastAsia="Calibri"/>
        </w:rPr>
        <w:t xml:space="preserve"> </w:t>
      </w:r>
    </w:p>
    <w:p w14:paraId="11EFA0E0" w14:textId="77777777" w:rsidR="00A61575" w:rsidRDefault="00A61575" w:rsidP="007F1F1C"/>
    <w:p w14:paraId="30FB612E" w14:textId="77777777" w:rsidR="00A61575" w:rsidRDefault="00A61575" w:rsidP="007F1F1C">
      <w:r>
        <w:rPr>
          <w:rFonts w:eastAsia="Calibri"/>
          <w:i/>
          <w:iCs/>
          <w:u w:val="single"/>
        </w:rPr>
        <w:t>Where can I learn more?</w:t>
      </w:r>
      <w:r>
        <w:rPr>
          <w:rFonts w:eastAsia="Calibri"/>
          <w:i/>
          <w:iCs/>
        </w:rPr>
        <w:t xml:space="preserve">  </w:t>
      </w:r>
      <w:r>
        <w:rPr>
          <w:rFonts w:eastAsia="Calibri"/>
        </w:rPr>
        <w:t xml:space="preserve">NACHC has developed a health center-specific guidance document, for the leave programs and other human resources considerations, accessible </w:t>
      </w:r>
      <w:hyperlink r:id="rId37" w:history="1">
        <w:r>
          <w:rPr>
            <w:rFonts w:eastAsia="Calibri"/>
            <w:color w:val="0563C1"/>
            <w:u w:val="single" w:color="0563C1"/>
          </w:rPr>
          <w:t>here</w:t>
        </w:r>
      </w:hyperlink>
      <w:r>
        <w:rPr>
          <w:rFonts w:eastAsia="Calibri"/>
        </w:rPr>
        <w:t xml:space="preserve">. General information on FFCRA leave from the Department of Labor is found </w:t>
      </w:r>
      <w:hyperlink r:id="rId38" w:history="1">
        <w:r>
          <w:rPr>
            <w:rFonts w:eastAsia="Calibri"/>
            <w:color w:val="0563C1"/>
            <w:u w:val="single" w:color="0563C1"/>
          </w:rPr>
          <w:t>here</w:t>
        </w:r>
      </w:hyperlink>
      <w:r>
        <w:rPr>
          <w:rFonts w:eastAsia="Calibri"/>
        </w:rPr>
        <w:t xml:space="preserve">, and questions and answers from the Department of Labor on how the FFCRA leave provisions work can be found </w:t>
      </w:r>
      <w:hyperlink r:id="rId39" w:history="1">
        <w:r>
          <w:rPr>
            <w:rFonts w:eastAsia="Calibri"/>
            <w:color w:val="0563C1"/>
            <w:u w:val="single" w:color="0563C1"/>
          </w:rPr>
          <w:t>here</w:t>
        </w:r>
      </w:hyperlink>
      <w:r>
        <w:rPr>
          <w:rFonts w:eastAsia="Calibri"/>
        </w:rPr>
        <w:t xml:space="preserve">. </w:t>
      </w:r>
    </w:p>
    <w:p w14:paraId="36CBF734" w14:textId="77777777" w:rsidR="00A61575" w:rsidRDefault="00A61575" w:rsidP="007F1F1C">
      <w:r>
        <w:br w:type="page"/>
      </w:r>
    </w:p>
    <w:p w14:paraId="49D76965" w14:textId="77777777" w:rsidR="00A61575" w:rsidRPr="00841C5A" w:rsidRDefault="00A61575" w:rsidP="007F1F1C">
      <w:pPr>
        <w:rPr>
          <w:sz w:val="28"/>
          <w:szCs w:val="28"/>
        </w:rPr>
      </w:pPr>
      <w:bookmarkStart w:id="36" w:name="_Hlk37858651"/>
      <w:r w:rsidRPr="006F5FBB">
        <w:rPr>
          <w:rStyle w:val="Emphasis"/>
        </w:rPr>
        <w:lastRenderedPageBreak/>
        <w:t>Federal Tax Credits for Emergency Paid Leave under the Families First Act</w:t>
      </w:r>
      <w:r w:rsidRPr="00D42A07">
        <w:t xml:space="preserve"> </w:t>
      </w:r>
      <w:bookmarkEnd w:id="36"/>
      <w:r w:rsidRPr="00D42A07">
        <w:t xml:space="preserve">– </w:t>
      </w:r>
      <w:r w:rsidRPr="00841C5A">
        <w:rPr>
          <w:i/>
          <w:iCs/>
          <w:sz w:val="28"/>
          <w:szCs w:val="28"/>
        </w:rPr>
        <w:t>As of 3/2</w:t>
      </w:r>
      <w:r w:rsidR="00841C5A" w:rsidRPr="00841C5A">
        <w:rPr>
          <w:i/>
          <w:iCs/>
          <w:sz w:val="28"/>
          <w:szCs w:val="28"/>
        </w:rPr>
        <w:t>9</w:t>
      </w:r>
      <w:r w:rsidRPr="00841C5A">
        <w:rPr>
          <w:i/>
          <w:iCs/>
          <w:sz w:val="28"/>
          <w:szCs w:val="28"/>
        </w:rPr>
        <w:t>/2020</w:t>
      </w:r>
    </w:p>
    <w:tbl>
      <w:tblPr>
        <w:tblW w:w="13860" w:type="dxa"/>
        <w:tblInd w:w="-450" w:type="dxa"/>
        <w:tblCellMar>
          <w:left w:w="0" w:type="dxa"/>
          <w:right w:w="0" w:type="dxa"/>
        </w:tblCellMar>
        <w:tblLook w:val="04A0" w:firstRow="1" w:lastRow="0" w:firstColumn="1" w:lastColumn="0" w:noHBand="0" w:noVBand="1"/>
      </w:tblPr>
      <w:tblGrid>
        <w:gridCol w:w="450"/>
        <w:gridCol w:w="2070"/>
        <w:gridCol w:w="3510"/>
        <w:gridCol w:w="3510"/>
        <w:gridCol w:w="4320"/>
      </w:tblGrid>
      <w:tr w:rsidR="00A61575" w:rsidRPr="008E5242" w14:paraId="6BB17FED" w14:textId="77777777" w:rsidTr="000407A1">
        <w:trPr>
          <w:trHeight w:val="744"/>
        </w:trPr>
        <w:tc>
          <w:tcPr>
            <w:tcW w:w="2520" w:type="dxa"/>
            <w:gridSpan w:val="2"/>
            <w:tcBorders>
              <w:bottom w:val="double" w:sz="6" w:space="0" w:color="000000"/>
              <w:right w:val="double" w:sz="6" w:space="0" w:color="000000"/>
            </w:tcBorders>
            <w:tcMar>
              <w:top w:w="10" w:type="dxa"/>
              <w:left w:w="118" w:type="dxa"/>
              <w:bottom w:w="22" w:type="dxa"/>
              <w:right w:w="108" w:type="dxa"/>
            </w:tcMar>
            <w:vAlign w:val="center"/>
            <w:hideMark/>
          </w:tcPr>
          <w:p w14:paraId="67F329EC" w14:textId="77777777" w:rsidR="00A61575" w:rsidRDefault="00A61575" w:rsidP="007F1F1C">
            <w:pPr>
              <w:rPr>
                <w:rFonts w:eastAsia="Calibri"/>
              </w:rPr>
            </w:pPr>
          </w:p>
          <w:p w14:paraId="769C2197" w14:textId="77777777" w:rsidR="00A61575" w:rsidRDefault="00A61575" w:rsidP="007F1F1C">
            <w:r>
              <w:rPr>
                <w:rFonts w:eastAsia="Calibri"/>
              </w:rPr>
              <w:t> </w:t>
            </w:r>
          </w:p>
        </w:tc>
        <w:tc>
          <w:tcPr>
            <w:tcW w:w="7020" w:type="dxa"/>
            <w:gridSpan w:val="2"/>
            <w:tcBorders>
              <w:top w:val="double" w:sz="6" w:space="0" w:color="000000"/>
              <w:bottom w:val="single" w:sz="6" w:space="0" w:color="000000"/>
              <w:right w:val="single" w:sz="6" w:space="0" w:color="000000"/>
            </w:tcBorders>
            <w:tcMar>
              <w:top w:w="22" w:type="dxa"/>
              <w:left w:w="118" w:type="dxa"/>
              <w:bottom w:w="8" w:type="dxa"/>
              <w:right w:w="108" w:type="dxa"/>
            </w:tcMar>
            <w:vAlign w:val="center"/>
            <w:hideMark/>
          </w:tcPr>
          <w:p w14:paraId="5EC19C68" w14:textId="77777777" w:rsidR="00A61575" w:rsidRPr="008E5242" w:rsidRDefault="00A61575" w:rsidP="008E5242">
            <w:pPr>
              <w:jc w:val="center"/>
              <w:rPr>
                <w:b/>
                <w:bCs/>
              </w:rPr>
            </w:pPr>
            <w:r w:rsidRPr="008E5242">
              <w:rPr>
                <w:rFonts w:eastAsia="Calibri"/>
                <w:b/>
                <w:bCs/>
              </w:rPr>
              <w:t>Emergency Paid Sick Leave</w:t>
            </w:r>
          </w:p>
        </w:tc>
        <w:tc>
          <w:tcPr>
            <w:tcW w:w="4320" w:type="dxa"/>
            <w:tcBorders>
              <w:top w:val="double" w:sz="6" w:space="0" w:color="000000"/>
              <w:left w:val="single" w:sz="8" w:space="0" w:color="000000"/>
              <w:bottom w:val="double" w:sz="6" w:space="0" w:color="000000"/>
              <w:right w:val="double" w:sz="6" w:space="0" w:color="000000"/>
            </w:tcBorders>
            <w:tcMar>
              <w:top w:w="22" w:type="dxa"/>
              <w:left w:w="108" w:type="dxa"/>
              <w:bottom w:w="22" w:type="dxa"/>
              <w:right w:w="108" w:type="dxa"/>
            </w:tcMar>
            <w:vAlign w:val="center"/>
            <w:hideMark/>
          </w:tcPr>
          <w:p w14:paraId="449A3A0B" w14:textId="77777777" w:rsidR="00A61575" w:rsidRPr="008E5242" w:rsidRDefault="00A61575" w:rsidP="008E5242">
            <w:pPr>
              <w:jc w:val="center"/>
              <w:rPr>
                <w:b/>
                <w:bCs/>
              </w:rPr>
            </w:pPr>
            <w:r w:rsidRPr="008E5242">
              <w:rPr>
                <w:rFonts w:eastAsia="Calibri"/>
                <w:b/>
                <w:bCs/>
              </w:rPr>
              <w:t>Emergency Family Medical Leave</w:t>
            </w:r>
          </w:p>
        </w:tc>
      </w:tr>
      <w:tr w:rsidR="00A61575" w14:paraId="51BA4430" w14:textId="77777777" w:rsidTr="000407A1">
        <w:trPr>
          <w:trHeight w:val="540"/>
        </w:trPr>
        <w:tc>
          <w:tcPr>
            <w:tcW w:w="2520" w:type="dxa"/>
            <w:gridSpan w:val="2"/>
            <w:tcBorders>
              <w:top w:val="double" w:sz="6" w:space="0" w:color="000000"/>
              <w:left w:val="double" w:sz="6" w:space="0" w:color="000000"/>
              <w:bottom w:val="single" w:sz="6" w:space="0" w:color="000000"/>
              <w:right w:val="single" w:sz="6" w:space="0" w:color="000000"/>
            </w:tcBorders>
            <w:tcMar>
              <w:top w:w="22" w:type="dxa"/>
              <w:left w:w="108" w:type="dxa"/>
              <w:bottom w:w="8" w:type="dxa"/>
              <w:right w:w="108" w:type="dxa"/>
            </w:tcMar>
            <w:vAlign w:val="center"/>
            <w:hideMark/>
          </w:tcPr>
          <w:p w14:paraId="13858F53" w14:textId="77777777" w:rsidR="00A61575" w:rsidRDefault="00A61575" w:rsidP="007F1F1C">
            <w:r>
              <w:rPr>
                <w:rFonts w:eastAsia="Calibri"/>
              </w:rPr>
              <w:t>Which EMPLOYERS must offer this leave</w:t>
            </w:r>
          </w:p>
        </w:tc>
        <w:tc>
          <w:tcPr>
            <w:tcW w:w="11340" w:type="dxa"/>
            <w:gridSpan w:val="3"/>
            <w:tcBorders>
              <w:top w:val="double" w:sz="6" w:space="0" w:color="000000"/>
              <w:bottom w:val="single" w:sz="6" w:space="0" w:color="000000"/>
              <w:right w:val="double" w:sz="6" w:space="0" w:color="000000"/>
            </w:tcBorders>
            <w:tcMar>
              <w:top w:w="22" w:type="dxa"/>
              <w:left w:w="118" w:type="dxa"/>
              <w:bottom w:w="8" w:type="dxa"/>
              <w:right w:w="108" w:type="dxa"/>
            </w:tcMar>
            <w:vAlign w:val="center"/>
            <w:hideMark/>
          </w:tcPr>
          <w:p w14:paraId="05D8301C" w14:textId="77777777" w:rsidR="00A61575" w:rsidRDefault="00A61575" w:rsidP="007F1F1C">
            <w:r>
              <w:rPr>
                <w:rFonts w:eastAsia="Calibri"/>
              </w:rPr>
              <w:t xml:space="preserve">All employers with fewer than 500 employees </w:t>
            </w:r>
          </w:p>
        </w:tc>
      </w:tr>
      <w:tr w:rsidR="00A61575" w14:paraId="5584427C" w14:textId="77777777" w:rsidTr="000407A1">
        <w:trPr>
          <w:trHeight w:val="985"/>
        </w:trPr>
        <w:tc>
          <w:tcPr>
            <w:tcW w:w="2520" w:type="dxa"/>
            <w:gridSpan w:val="2"/>
            <w:tcBorders>
              <w:top w:val="single" w:sz="6" w:space="0" w:color="000000"/>
              <w:left w:val="double" w:sz="6" w:space="0" w:color="000000"/>
              <w:bottom w:val="single" w:sz="6" w:space="0" w:color="000000"/>
              <w:right w:val="single" w:sz="6" w:space="0" w:color="000000"/>
            </w:tcBorders>
            <w:tcMar>
              <w:top w:w="8" w:type="dxa"/>
              <w:left w:w="108" w:type="dxa"/>
              <w:bottom w:w="8" w:type="dxa"/>
              <w:right w:w="108" w:type="dxa"/>
            </w:tcMar>
            <w:vAlign w:val="center"/>
            <w:hideMark/>
          </w:tcPr>
          <w:p w14:paraId="71D6D11B" w14:textId="77777777" w:rsidR="00A61575" w:rsidRDefault="00A61575" w:rsidP="007F1F1C">
            <w:r>
              <w:rPr>
                <w:rFonts w:eastAsia="Calibri"/>
              </w:rPr>
              <w:t>Which EMPLOYEES are eligible:</w:t>
            </w:r>
          </w:p>
        </w:tc>
        <w:tc>
          <w:tcPr>
            <w:tcW w:w="3510" w:type="dxa"/>
            <w:tcBorders>
              <w:bottom w:val="single" w:sz="6" w:space="0" w:color="000000"/>
              <w:right w:val="single" w:sz="6" w:space="0" w:color="000000"/>
            </w:tcBorders>
            <w:tcMar>
              <w:top w:w="10" w:type="dxa"/>
              <w:left w:w="118" w:type="dxa"/>
              <w:bottom w:w="8" w:type="dxa"/>
              <w:right w:w="108" w:type="dxa"/>
            </w:tcMar>
            <w:vAlign w:val="center"/>
            <w:hideMark/>
          </w:tcPr>
          <w:p w14:paraId="5920F9AF" w14:textId="77777777" w:rsidR="00A61575" w:rsidRDefault="00A61575" w:rsidP="007F1F1C">
            <w:r>
              <w:rPr>
                <w:rFonts w:eastAsia="Calibri"/>
              </w:rPr>
              <w:t>Employees who are sick or under quarantine themselves</w:t>
            </w:r>
          </w:p>
        </w:tc>
        <w:tc>
          <w:tcPr>
            <w:tcW w:w="3510" w:type="dxa"/>
            <w:tcBorders>
              <w:bottom w:val="single" w:sz="6" w:space="0" w:color="000000"/>
            </w:tcBorders>
            <w:tcMar>
              <w:top w:w="10" w:type="dxa"/>
              <w:left w:w="118" w:type="dxa"/>
              <w:bottom w:w="8" w:type="dxa"/>
              <w:right w:w="118" w:type="dxa"/>
            </w:tcMar>
            <w:vAlign w:val="center"/>
            <w:hideMark/>
          </w:tcPr>
          <w:p w14:paraId="61179899" w14:textId="77777777" w:rsidR="00A61575" w:rsidRDefault="00A61575" w:rsidP="007F1F1C">
            <w:r>
              <w:rPr>
                <w:rFonts w:eastAsia="Calibri"/>
              </w:rPr>
              <w:t xml:space="preserve">Employees who are </w:t>
            </w:r>
            <w:r>
              <w:rPr>
                <w:rFonts w:eastAsia="Calibri"/>
                <w:b/>
                <w:bCs/>
                <w:i/>
                <w:iCs/>
              </w:rPr>
              <w:t xml:space="preserve">caring for a family member or child </w:t>
            </w:r>
            <w:r>
              <w:rPr>
                <w:rFonts w:eastAsia="Calibri"/>
              </w:rPr>
              <w:t>who is sick, quarantined, or whose school/ childcare is closed</w:t>
            </w:r>
          </w:p>
        </w:tc>
        <w:tc>
          <w:tcPr>
            <w:tcW w:w="4320" w:type="dxa"/>
            <w:tcBorders>
              <w:left w:val="single" w:sz="8" w:space="0" w:color="000000"/>
              <w:bottom w:val="single" w:sz="6" w:space="0" w:color="000000"/>
              <w:right w:val="double" w:sz="6" w:space="0" w:color="000000"/>
            </w:tcBorders>
            <w:tcMar>
              <w:top w:w="10" w:type="dxa"/>
              <w:left w:w="108" w:type="dxa"/>
              <w:bottom w:w="8" w:type="dxa"/>
              <w:right w:w="108" w:type="dxa"/>
            </w:tcMar>
            <w:vAlign w:val="center"/>
            <w:hideMark/>
          </w:tcPr>
          <w:p w14:paraId="6146003E" w14:textId="77777777" w:rsidR="00A61575" w:rsidRDefault="00A61575" w:rsidP="007F1F1C">
            <w:r>
              <w:rPr>
                <w:rFonts w:eastAsia="Calibri"/>
              </w:rPr>
              <w:t xml:space="preserve">Employees who have a </w:t>
            </w:r>
            <w:r>
              <w:rPr>
                <w:rFonts w:eastAsia="Calibri"/>
                <w:b/>
                <w:bCs/>
                <w:i/>
                <w:iCs/>
              </w:rPr>
              <w:t xml:space="preserve">child under 18 </w:t>
            </w:r>
            <w:r>
              <w:rPr>
                <w:rFonts w:eastAsia="Calibri"/>
              </w:rPr>
              <w:t xml:space="preserve">whose school or childcare is closed </w:t>
            </w:r>
            <w:r>
              <w:rPr>
                <w:rFonts w:eastAsia="Calibri"/>
                <w:u w:val="single" w:color="000000"/>
              </w:rPr>
              <w:t>AND</w:t>
            </w:r>
            <w:r>
              <w:rPr>
                <w:rFonts w:eastAsia="Calibri"/>
              </w:rPr>
              <w:t xml:space="preserve"> who are unable to telework.</w:t>
            </w:r>
          </w:p>
        </w:tc>
      </w:tr>
      <w:tr w:rsidR="00A61575" w14:paraId="2A2CE36C" w14:textId="77777777" w:rsidTr="000407A1">
        <w:trPr>
          <w:trHeight w:val="615"/>
        </w:trPr>
        <w:tc>
          <w:tcPr>
            <w:tcW w:w="450" w:type="dxa"/>
            <w:tcBorders>
              <w:left w:val="double" w:sz="6" w:space="0" w:color="000000"/>
              <w:bottom w:val="single" w:sz="6" w:space="0" w:color="000000"/>
              <w:right w:val="single" w:sz="6" w:space="0" w:color="000000"/>
            </w:tcBorders>
            <w:tcMar>
              <w:top w:w="10" w:type="dxa"/>
              <w:left w:w="108" w:type="dxa"/>
              <w:bottom w:w="8" w:type="dxa"/>
              <w:right w:w="108" w:type="dxa"/>
            </w:tcMar>
            <w:vAlign w:val="center"/>
            <w:hideMark/>
          </w:tcPr>
          <w:p w14:paraId="4DF76178" w14:textId="77777777" w:rsidR="00A61575" w:rsidRDefault="00A61575" w:rsidP="007F1F1C">
            <w:r>
              <w:rPr>
                <w:rFonts w:eastAsia="Calibri"/>
              </w:rPr>
              <w:t> </w:t>
            </w:r>
          </w:p>
        </w:tc>
        <w:tc>
          <w:tcPr>
            <w:tcW w:w="2070" w:type="dxa"/>
            <w:tcBorders>
              <w:bottom w:val="single" w:sz="6" w:space="0" w:color="000000"/>
              <w:right w:val="single" w:sz="6" w:space="0" w:color="000000"/>
            </w:tcBorders>
            <w:tcMar>
              <w:top w:w="10" w:type="dxa"/>
              <w:left w:w="118" w:type="dxa"/>
              <w:bottom w:w="8" w:type="dxa"/>
              <w:right w:w="108" w:type="dxa"/>
            </w:tcMar>
            <w:vAlign w:val="center"/>
            <w:hideMark/>
          </w:tcPr>
          <w:p w14:paraId="26630AF1" w14:textId="77777777" w:rsidR="00A61575" w:rsidRDefault="00A61575" w:rsidP="007F1F1C">
            <w:r>
              <w:rPr>
                <w:rFonts w:eastAsia="Calibri"/>
              </w:rPr>
              <w:t>Minimum tenure to be eligible</w:t>
            </w:r>
          </w:p>
        </w:tc>
        <w:tc>
          <w:tcPr>
            <w:tcW w:w="3510" w:type="dxa"/>
            <w:tcBorders>
              <w:bottom w:val="single" w:sz="6" w:space="0" w:color="000000"/>
              <w:right w:val="single" w:sz="6" w:space="0" w:color="000000"/>
            </w:tcBorders>
            <w:tcMar>
              <w:top w:w="10" w:type="dxa"/>
              <w:left w:w="118" w:type="dxa"/>
              <w:bottom w:w="8" w:type="dxa"/>
              <w:right w:w="108" w:type="dxa"/>
            </w:tcMar>
            <w:vAlign w:val="center"/>
            <w:hideMark/>
          </w:tcPr>
          <w:p w14:paraId="40A78AEE" w14:textId="77777777" w:rsidR="00A61575" w:rsidRDefault="00A61575" w:rsidP="007F1F1C">
            <w:r>
              <w:rPr>
                <w:rFonts w:eastAsia="Calibri"/>
              </w:rPr>
              <w:t>No minimum</w:t>
            </w:r>
          </w:p>
        </w:tc>
        <w:tc>
          <w:tcPr>
            <w:tcW w:w="3510" w:type="dxa"/>
            <w:tcBorders>
              <w:bottom w:val="single" w:sz="6" w:space="0" w:color="000000"/>
            </w:tcBorders>
            <w:tcMar>
              <w:top w:w="10" w:type="dxa"/>
              <w:left w:w="118" w:type="dxa"/>
              <w:bottom w:w="8" w:type="dxa"/>
              <w:right w:w="118" w:type="dxa"/>
            </w:tcMar>
            <w:vAlign w:val="center"/>
            <w:hideMark/>
          </w:tcPr>
          <w:p w14:paraId="76899BF5" w14:textId="77777777" w:rsidR="00A61575" w:rsidRDefault="00A61575" w:rsidP="007F1F1C">
            <w:r>
              <w:rPr>
                <w:rFonts w:eastAsia="Calibri"/>
              </w:rPr>
              <w:t>No minimum</w:t>
            </w:r>
          </w:p>
        </w:tc>
        <w:tc>
          <w:tcPr>
            <w:tcW w:w="4320" w:type="dxa"/>
            <w:tcBorders>
              <w:left w:val="single" w:sz="8" w:space="0" w:color="000000"/>
              <w:bottom w:val="single" w:sz="6" w:space="0" w:color="000000"/>
              <w:right w:val="double" w:sz="6" w:space="0" w:color="000000"/>
            </w:tcBorders>
            <w:tcMar>
              <w:top w:w="10" w:type="dxa"/>
              <w:left w:w="108" w:type="dxa"/>
              <w:bottom w:w="8" w:type="dxa"/>
              <w:right w:w="108" w:type="dxa"/>
            </w:tcMar>
            <w:vAlign w:val="center"/>
            <w:hideMark/>
          </w:tcPr>
          <w:p w14:paraId="1830FB7F" w14:textId="77777777" w:rsidR="00A61575" w:rsidRDefault="00A61575" w:rsidP="007F1F1C">
            <w:r>
              <w:rPr>
                <w:rFonts w:eastAsia="Calibri"/>
              </w:rPr>
              <w:t>30 days</w:t>
            </w:r>
          </w:p>
        </w:tc>
      </w:tr>
      <w:tr w:rsidR="00A61575" w14:paraId="5E09F5A3" w14:textId="77777777" w:rsidTr="000407A1">
        <w:trPr>
          <w:trHeight w:val="319"/>
        </w:trPr>
        <w:tc>
          <w:tcPr>
            <w:tcW w:w="13860" w:type="dxa"/>
            <w:gridSpan w:val="5"/>
            <w:tcBorders>
              <w:top w:val="single" w:sz="6" w:space="0" w:color="000000"/>
              <w:left w:val="double" w:sz="6" w:space="0" w:color="000000"/>
              <w:bottom w:val="single" w:sz="6" w:space="0" w:color="000000"/>
              <w:right w:val="double" w:sz="6" w:space="0" w:color="000000"/>
            </w:tcBorders>
            <w:tcMar>
              <w:top w:w="8" w:type="dxa"/>
              <w:left w:w="108" w:type="dxa"/>
              <w:bottom w:w="8" w:type="dxa"/>
              <w:right w:w="108" w:type="dxa"/>
            </w:tcMar>
            <w:vAlign w:val="center"/>
            <w:hideMark/>
          </w:tcPr>
          <w:p w14:paraId="171D6720" w14:textId="77777777" w:rsidR="00A61575" w:rsidRDefault="00A61575" w:rsidP="007F1F1C">
            <w:r>
              <w:rPr>
                <w:rFonts w:eastAsia="Calibri"/>
              </w:rPr>
              <w:t>MAXIMUM days and dollar amounts (that non-exempt employers must provide and the Federal government will reimburse)</w:t>
            </w:r>
          </w:p>
        </w:tc>
      </w:tr>
      <w:tr w:rsidR="00A61575" w14:paraId="278A705B" w14:textId="77777777" w:rsidTr="000407A1">
        <w:trPr>
          <w:trHeight w:val="525"/>
        </w:trPr>
        <w:tc>
          <w:tcPr>
            <w:tcW w:w="450" w:type="dxa"/>
            <w:tcBorders>
              <w:left w:val="double" w:sz="6" w:space="0" w:color="000000"/>
              <w:bottom w:val="single" w:sz="6" w:space="0" w:color="000000"/>
              <w:right w:val="single" w:sz="6" w:space="0" w:color="000000"/>
            </w:tcBorders>
            <w:tcMar>
              <w:top w:w="10" w:type="dxa"/>
              <w:left w:w="108" w:type="dxa"/>
              <w:bottom w:w="8" w:type="dxa"/>
              <w:right w:w="108" w:type="dxa"/>
            </w:tcMar>
            <w:vAlign w:val="center"/>
            <w:hideMark/>
          </w:tcPr>
          <w:p w14:paraId="3F216534" w14:textId="77777777" w:rsidR="00A61575" w:rsidRDefault="00A61575" w:rsidP="007F1F1C">
            <w:r>
              <w:rPr>
                <w:rFonts w:eastAsia="Calibri"/>
              </w:rPr>
              <w:t> </w:t>
            </w:r>
          </w:p>
        </w:tc>
        <w:tc>
          <w:tcPr>
            <w:tcW w:w="2070" w:type="dxa"/>
            <w:tcBorders>
              <w:bottom w:val="single" w:sz="6" w:space="0" w:color="000000"/>
              <w:right w:val="single" w:sz="6" w:space="0" w:color="000000"/>
            </w:tcBorders>
            <w:tcMar>
              <w:top w:w="10" w:type="dxa"/>
              <w:left w:w="118" w:type="dxa"/>
              <w:bottom w:w="8" w:type="dxa"/>
              <w:right w:w="108" w:type="dxa"/>
            </w:tcMar>
            <w:vAlign w:val="center"/>
            <w:hideMark/>
          </w:tcPr>
          <w:p w14:paraId="7F344072" w14:textId="77777777" w:rsidR="00A61575" w:rsidRDefault="00A61575" w:rsidP="007F1F1C">
            <w:r>
              <w:rPr>
                <w:rFonts w:eastAsia="Calibri"/>
              </w:rPr>
              <w:t>Maximum number of days</w:t>
            </w:r>
          </w:p>
        </w:tc>
        <w:tc>
          <w:tcPr>
            <w:tcW w:w="3510" w:type="dxa"/>
            <w:tcBorders>
              <w:bottom w:val="single" w:sz="6" w:space="0" w:color="000000"/>
              <w:right w:val="single" w:sz="6" w:space="0" w:color="000000"/>
            </w:tcBorders>
            <w:tcMar>
              <w:top w:w="10" w:type="dxa"/>
              <w:left w:w="118" w:type="dxa"/>
              <w:bottom w:w="8" w:type="dxa"/>
              <w:right w:w="108" w:type="dxa"/>
            </w:tcMar>
            <w:vAlign w:val="center"/>
            <w:hideMark/>
          </w:tcPr>
          <w:p w14:paraId="12995D56" w14:textId="77777777" w:rsidR="00A61575" w:rsidRDefault="00A61575" w:rsidP="007F1F1C">
            <w:r>
              <w:rPr>
                <w:rFonts w:eastAsia="Calibri"/>
              </w:rPr>
              <w:t>10 days (for a full-time FTE)</w:t>
            </w:r>
          </w:p>
        </w:tc>
        <w:tc>
          <w:tcPr>
            <w:tcW w:w="3510" w:type="dxa"/>
            <w:tcBorders>
              <w:bottom w:val="single" w:sz="6" w:space="0" w:color="000000"/>
            </w:tcBorders>
            <w:tcMar>
              <w:top w:w="10" w:type="dxa"/>
              <w:left w:w="118" w:type="dxa"/>
              <w:bottom w:w="8" w:type="dxa"/>
              <w:right w:w="118" w:type="dxa"/>
            </w:tcMar>
            <w:vAlign w:val="center"/>
            <w:hideMark/>
          </w:tcPr>
          <w:p w14:paraId="209E72E7" w14:textId="77777777" w:rsidR="00A61575" w:rsidRDefault="00A61575" w:rsidP="007F1F1C">
            <w:r>
              <w:rPr>
                <w:rFonts w:eastAsia="Calibri"/>
              </w:rPr>
              <w:t>10 days (for a full-time FTE)</w:t>
            </w:r>
          </w:p>
        </w:tc>
        <w:tc>
          <w:tcPr>
            <w:tcW w:w="4320" w:type="dxa"/>
            <w:tcBorders>
              <w:left w:val="single" w:sz="8" w:space="0" w:color="000000"/>
              <w:bottom w:val="single" w:sz="6" w:space="0" w:color="000000"/>
              <w:right w:val="double" w:sz="6" w:space="0" w:color="000000"/>
            </w:tcBorders>
            <w:tcMar>
              <w:top w:w="10" w:type="dxa"/>
              <w:left w:w="108" w:type="dxa"/>
              <w:bottom w:w="8" w:type="dxa"/>
              <w:right w:w="108" w:type="dxa"/>
            </w:tcMar>
            <w:vAlign w:val="center"/>
            <w:hideMark/>
          </w:tcPr>
          <w:p w14:paraId="79AAC668" w14:textId="77777777" w:rsidR="00A61575" w:rsidRDefault="00A61575" w:rsidP="007F1F1C">
            <w:r>
              <w:rPr>
                <w:rFonts w:eastAsia="Calibri"/>
              </w:rPr>
              <w:t>12 weeks</w:t>
            </w:r>
          </w:p>
        </w:tc>
      </w:tr>
      <w:tr w:rsidR="00A61575" w14:paraId="46B2061C" w14:textId="77777777" w:rsidTr="000407A1">
        <w:trPr>
          <w:trHeight w:val="1407"/>
        </w:trPr>
        <w:tc>
          <w:tcPr>
            <w:tcW w:w="450" w:type="dxa"/>
            <w:tcBorders>
              <w:left w:val="double" w:sz="6" w:space="0" w:color="000000"/>
              <w:bottom w:val="single" w:sz="6" w:space="0" w:color="000000"/>
              <w:right w:val="single" w:sz="6" w:space="0" w:color="000000"/>
            </w:tcBorders>
            <w:tcMar>
              <w:top w:w="10" w:type="dxa"/>
              <w:left w:w="108" w:type="dxa"/>
              <w:bottom w:w="8" w:type="dxa"/>
              <w:right w:w="108" w:type="dxa"/>
            </w:tcMar>
            <w:vAlign w:val="center"/>
            <w:hideMark/>
          </w:tcPr>
          <w:p w14:paraId="05050E2E" w14:textId="77777777" w:rsidR="00A61575" w:rsidRDefault="00A61575" w:rsidP="007F1F1C">
            <w:r>
              <w:rPr>
                <w:rFonts w:eastAsia="Calibri"/>
              </w:rPr>
              <w:t> </w:t>
            </w:r>
          </w:p>
        </w:tc>
        <w:tc>
          <w:tcPr>
            <w:tcW w:w="2070" w:type="dxa"/>
            <w:tcBorders>
              <w:bottom w:val="single" w:sz="6" w:space="0" w:color="000000"/>
              <w:right w:val="single" w:sz="6" w:space="0" w:color="000000"/>
            </w:tcBorders>
            <w:tcMar>
              <w:top w:w="10" w:type="dxa"/>
              <w:left w:w="118" w:type="dxa"/>
              <w:bottom w:w="8" w:type="dxa"/>
              <w:right w:w="108" w:type="dxa"/>
            </w:tcMar>
            <w:vAlign w:val="center"/>
            <w:hideMark/>
          </w:tcPr>
          <w:p w14:paraId="2DFDBA40" w14:textId="77777777" w:rsidR="00A61575" w:rsidRDefault="00A61575" w:rsidP="007F1F1C">
            <w:r>
              <w:rPr>
                <w:rFonts w:eastAsia="Calibri"/>
              </w:rPr>
              <w:t>Maximum amount per day</w:t>
            </w:r>
          </w:p>
        </w:tc>
        <w:tc>
          <w:tcPr>
            <w:tcW w:w="3510" w:type="dxa"/>
            <w:tcBorders>
              <w:bottom w:val="single" w:sz="6" w:space="0" w:color="000000"/>
              <w:right w:val="single" w:sz="6" w:space="0" w:color="000000"/>
            </w:tcBorders>
            <w:tcMar>
              <w:top w:w="10" w:type="dxa"/>
              <w:left w:w="118" w:type="dxa"/>
              <w:bottom w:w="8" w:type="dxa"/>
              <w:right w:w="108" w:type="dxa"/>
            </w:tcMar>
            <w:vAlign w:val="center"/>
            <w:hideMark/>
          </w:tcPr>
          <w:p w14:paraId="79DF0449" w14:textId="77777777" w:rsidR="00A61575" w:rsidRDefault="00A61575" w:rsidP="007F1F1C">
            <w:r>
              <w:rPr>
                <w:rFonts w:eastAsia="Calibri"/>
              </w:rPr>
              <w:t>The lesser of $511 or the employee's regular daily rate</w:t>
            </w:r>
          </w:p>
        </w:tc>
        <w:tc>
          <w:tcPr>
            <w:tcW w:w="3510" w:type="dxa"/>
            <w:tcBorders>
              <w:bottom w:val="single" w:sz="6" w:space="0" w:color="000000"/>
            </w:tcBorders>
            <w:tcMar>
              <w:top w:w="10" w:type="dxa"/>
              <w:left w:w="118" w:type="dxa"/>
              <w:bottom w:w="8" w:type="dxa"/>
              <w:right w:w="118" w:type="dxa"/>
            </w:tcMar>
            <w:vAlign w:val="center"/>
            <w:hideMark/>
          </w:tcPr>
          <w:p w14:paraId="7BB458F4" w14:textId="77777777" w:rsidR="00A61575" w:rsidRDefault="00A61575" w:rsidP="007F1F1C">
            <w:r>
              <w:rPr>
                <w:rFonts w:eastAsia="Calibri"/>
              </w:rPr>
              <w:t>The lesser of $200 or two-thirds of the employee's daily rate</w:t>
            </w:r>
          </w:p>
        </w:tc>
        <w:tc>
          <w:tcPr>
            <w:tcW w:w="4320" w:type="dxa"/>
            <w:tcBorders>
              <w:left w:val="single" w:sz="8" w:space="0" w:color="000000"/>
              <w:bottom w:val="single" w:sz="6" w:space="0" w:color="000000"/>
              <w:right w:val="double" w:sz="6" w:space="0" w:color="000000"/>
            </w:tcBorders>
            <w:tcMar>
              <w:top w:w="10" w:type="dxa"/>
              <w:left w:w="108" w:type="dxa"/>
              <w:bottom w:w="8" w:type="dxa"/>
              <w:right w:w="108" w:type="dxa"/>
            </w:tcMar>
            <w:vAlign w:val="center"/>
            <w:hideMark/>
          </w:tcPr>
          <w:p w14:paraId="50C59355" w14:textId="77777777" w:rsidR="00A61575" w:rsidRDefault="00A61575" w:rsidP="007F1F1C">
            <w:r>
              <w:rPr>
                <w:rFonts w:eastAsia="Calibri"/>
              </w:rPr>
              <w:t>The first 10 days may be unpaid (or employee may choose to use other types of leave.)  For the remaining 50 days, maximum is the lesser of $200 or two-thirds of the employee's daily rate</w:t>
            </w:r>
          </w:p>
        </w:tc>
      </w:tr>
      <w:tr w:rsidR="00A61575" w14:paraId="7B094062" w14:textId="77777777" w:rsidTr="000407A1">
        <w:trPr>
          <w:trHeight w:val="507"/>
        </w:trPr>
        <w:tc>
          <w:tcPr>
            <w:tcW w:w="450" w:type="dxa"/>
            <w:tcBorders>
              <w:left w:val="double" w:sz="6" w:space="0" w:color="000000"/>
              <w:bottom w:val="single" w:sz="6" w:space="0" w:color="000000"/>
              <w:right w:val="single" w:sz="6" w:space="0" w:color="000000"/>
            </w:tcBorders>
            <w:tcMar>
              <w:top w:w="10" w:type="dxa"/>
              <w:left w:w="108" w:type="dxa"/>
              <w:bottom w:w="8" w:type="dxa"/>
              <w:right w:w="108" w:type="dxa"/>
            </w:tcMar>
            <w:vAlign w:val="center"/>
            <w:hideMark/>
          </w:tcPr>
          <w:p w14:paraId="36A13F08" w14:textId="77777777" w:rsidR="00A61575" w:rsidRDefault="00A61575" w:rsidP="007F1F1C">
            <w:r>
              <w:rPr>
                <w:rFonts w:eastAsia="Calibri"/>
              </w:rPr>
              <w:t> </w:t>
            </w:r>
          </w:p>
        </w:tc>
        <w:tc>
          <w:tcPr>
            <w:tcW w:w="2070" w:type="dxa"/>
            <w:tcBorders>
              <w:bottom w:val="single" w:sz="6" w:space="0" w:color="000000"/>
              <w:right w:val="single" w:sz="6" w:space="0" w:color="000000"/>
            </w:tcBorders>
            <w:tcMar>
              <w:top w:w="10" w:type="dxa"/>
              <w:left w:w="118" w:type="dxa"/>
              <w:bottom w:w="8" w:type="dxa"/>
              <w:right w:w="108" w:type="dxa"/>
            </w:tcMar>
            <w:vAlign w:val="center"/>
            <w:hideMark/>
          </w:tcPr>
          <w:p w14:paraId="62FBEE18" w14:textId="77777777" w:rsidR="00A61575" w:rsidRDefault="00A61575" w:rsidP="007F1F1C">
            <w:r>
              <w:rPr>
                <w:rFonts w:eastAsia="Calibri"/>
              </w:rPr>
              <w:t>Maximum Total Amount</w:t>
            </w:r>
          </w:p>
        </w:tc>
        <w:tc>
          <w:tcPr>
            <w:tcW w:w="3510" w:type="dxa"/>
            <w:tcBorders>
              <w:bottom w:val="single" w:sz="6" w:space="0" w:color="000000"/>
              <w:right w:val="single" w:sz="6" w:space="0" w:color="000000"/>
            </w:tcBorders>
            <w:tcMar>
              <w:top w:w="10" w:type="dxa"/>
              <w:left w:w="118" w:type="dxa"/>
              <w:bottom w:w="8" w:type="dxa"/>
              <w:right w:w="108" w:type="dxa"/>
            </w:tcMar>
            <w:vAlign w:val="center"/>
            <w:hideMark/>
          </w:tcPr>
          <w:p w14:paraId="75EA06E7" w14:textId="77777777" w:rsidR="00A61575" w:rsidRDefault="00A61575" w:rsidP="007F1F1C">
            <w:r>
              <w:rPr>
                <w:rFonts w:eastAsia="Calibri"/>
              </w:rPr>
              <w:t xml:space="preserve">$5,110 </w:t>
            </w:r>
          </w:p>
        </w:tc>
        <w:tc>
          <w:tcPr>
            <w:tcW w:w="3510" w:type="dxa"/>
            <w:tcBorders>
              <w:bottom w:val="single" w:sz="6" w:space="0" w:color="000000"/>
            </w:tcBorders>
            <w:tcMar>
              <w:top w:w="10" w:type="dxa"/>
              <w:left w:w="118" w:type="dxa"/>
              <w:bottom w:w="8" w:type="dxa"/>
              <w:right w:w="118" w:type="dxa"/>
            </w:tcMar>
            <w:vAlign w:val="center"/>
            <w:hideMark/>
          </w:tcPr>
          <w:p w14:paraId="2E17B33F" w14:textId="77777777" w:rsidR="00A61575" w:rsidRDefault="00A61575" w:rsidP="007F1F1C">
            <w:r>
              <w:rPr>
                <w:rFonts w:eastAsia="Calibri"/>
              </w:rPr>
              <w:t xml:space="preserve">$2,000 </w:t>
            </w:r>
          </w:p>
        </w:tc>
        <w:tc>
          <w:tcPr>
            <w:tcW w:w="4320" w:type="dxa"/>
            <w:tcBorders>
              <w:left w:val="single" w:sz="8" w:space="0" w:color="000000"/>
              <w:bottom w:val="single" w:sz="6" w:space="0" w:color="000000"/>
              <w:right w:val="double" w:sz="6" w:space="0" w:color="000000"/>
            </w:tcBorders>
            <w:tcMar>
              <w:top w:w="10" w:type="dxa"/>
              <w:left w:w="108" w:type="dxa"/>
              <w:bottom w:w="8" w:type="dxa"/>
              <w:right w:w="108" w:type="dxa"/>
            </w:tcMar>
            <w:vAlign w:val="center"/>
            <w:hideMark/>
          </w:tcPr>
          <w:p w14:paraId="5E443DF1" w14:textId="77777777" w:rsidR="00A61575" w:rsidRDefault="00A61575" w:rsidP="007F1F1C">
            <w:r>
              <w:rPr>
                <w:rFonts w:eastAsia="Calibri"/>
              </w:rPr>
              <w:t xml:space="preserve">$10,000 </w:t>
            </w:r>
          </w:p>
        </w:tc>
      </w:tr>
      <w:tr w:rsidR="00A61575" w14:paraId="59DDA0CA" w14:textId="77777777" w:rsidTr="000407A1">
        <w:trPr>
          <w:trHeight w:val="310"/>
        </w:trPr>
        <w:tc>
          <w:tcPr>
            <w:tcW w:w="6030" w:type="dxa"/>
            <w:gridSpan w:val="3"/>
            <w:tcBorders>
              <w:top w:val="single" w:sz="6" w:space="0" w:color="000000"/>
              <w:left w:val="double" w:sz="6" w:space="0" w:color="000000"/>
              <w:bottom w:val="single" w:sz="6" w:space="0" w:color="000000"/>
              <w:right w:val="single" w:sz="6" w:space="0" w:color="000000"/>
            </w:tcBorders>
            <w:tcMar>
              <w:top w:w="8" w:type="dxa"/>
              <w:left w:w="108" w:type="dxa"/>
              <w:bottom w:w="8" w:type="dxa"/>
              <w:right w:w="108" w:type="dxa"/>
            </w:tcMar>
            <w:vAlign w:val="center"/>
            <w:hideMark/>
          </w:tcPr>
          <w:p w14:paraId="2CF7D6C8" w14:textId="77777777" w:rsidR="00A61575" w:rsidRDefault="00A61575" w:rsidP="007F1F1C">
            <w:r>
              <w:rPr>
                <w:rFonts w:eastAsia="Calibri"/>
              </w:rPr>
              <w:t>Potential EXCEPTIONS</w:t>
            </w:r>
          </w:p>
        </w:tc>
        <w:tc>
          <w:tcPr>
            <w:tcW w:w="3510" w:type="dxa"/>
            <w:tcBorders>
              <w:bottom w:val="single" w:sz="6" w:space="0" w:color="000000"/>
            </w:tcBorders>
            <w:tcMar>
              <w:top w:w="10" w:type="dxa"/>
              <w:left w:w="118" w:type="dxa"/>
              <w:bottom w:w="8" w:type="dxa"/>
              <w:right w:w="118" w:type="dxa"/>
            </w:tcMar>
            <w:vAlign w:val="center"/>
            <w:hideMark/>
          </w:tcPr>
          <w:p w14:paraId="3AF76EC7" w14:textId="77777777" w:rsidR="00A61575" w:rsidRDefault="00A61575" w:rsidP="007F1F1C">
            <w:r>
              <w:rPr>
                <w:rFonts w:eastAsia="Calibri"/>
              </w:rPr>
              <w:t> </w:t>
            </w:r>
          </w:p>
        </w:tc>
        <w:tc>
          <w:tcPr>
            <w:tcW w:w="4320" w:type="dxa"/>
            <w:tcBorders>
              <w:left w:val="single" w:sz="8" w:space="0" w:color="000000"/>
              <w:bottom w:val="single" w:sz="6" w:space="0" w:color="000000"/>
              <w:right w:val="double" w:sz="6" w:space="0" w:color="000000"/>
            </w:tcBorders>
            <w:tcMar>
              <w:top w:w="10" w:type="dxa"/>
              <w:left w:w="108" w:type="dxa"/>
              <w:bottom w:w="8" w:type="dxa"/>
              <w:right w:w="108" w:type="dxa"/>
            </w:tcMar>
            <w:vAlign w:val="center"/>
            <w:hideMark/>
          </w:tcPr>
          <w:p w14:paraId="4161A401" w14:textId="77777777" w:rsidR="00A61575" w:rsidRDefault="00A61575" w:rsidP="007F1F1C">
            <w:r>
              <w:rPr>
                <w:rFonts w:eastAsia="Calibri"/>
              </w:rPr>
              <w:t> </w:t>
            </w:r>
          </w:p>
        </w:tc>
      </w:tr>
      <w:tr w:rsidR="00A61575" w14:paraId="7EE88F24" w14:textId="77777777" w:rsidTr="000407A1">
        <w:trPr>
          <w:trHeight w:val="409"/>
        </w:trPr>
        <w:tc>
          <w:tcPr>
            <w:tcW w:w="450" w:type="dxa"/>
            <w:tcBorders>
              <w:left w:val="double" w:sz="6" w:space="0" w:color="000000"/>
              <w:bottom w:val="single" w:sz="6" w:space="0" w:color="000000"/>
              <w:right w:val="single" w:sz="6" w:space="0" w:color="000000"/>
            </w:tcBorders>
            <w:tcMar>
              <w:top w:w="10" w:type="dxa"/>
              <w:left w:w="108" w:type="dxa"/>
              <w:bottom w:w="8" w:type="dxa"/>
              <w:right w:w="108" w:type="dxa"/>
            </w:tcMar>
            <w:vAlign w:val="center"/>
            <w:hideMark/>
          </w:tcPr>
          <w:p w14:paraId="266E4AD6" w14:textId="77777777" w:rsidR="00A61575" w:rsidRDefault="00A61575" w:rsidP="007F1F1C">
            <w:r>
              <w:rPr>
                <w:rFonts w:eastAsia="Calibri"/>
              </w:rPr>
              <w:t> </w:t>
            </w:r>
          </w:p>
        </w:tc>
        <w:tc>
          <w:tcPr>
            <w:tcW w:w="2070" w:type="dxa"/>
            <w:tcBorders>
              <w:bottom w:val="single" w:sz="6" w:space="0" w:color="000000"/>
              <w:right w:val="single" w:sz="6" w:space="0" w:color="000000"/>
            </w:tcBorders>
            <w:tcMar>
              <w:top w:w="10" w:type="dxa"/>
              <w:left w:w="118" w:type="dxa"/>
              <w:bottom w:w="8" w:type="dxa"/>
              <w:right w:w="108" w:type="dxa"/>
            </w:tcMar>
            <w:vAlign w:val="center"/>
            <w:hideMark/>
          </w:tcPr>
          <w:p w14:paraId="7039CB55" w14:textId="77777777" w:rsidR="00A61575" w:rsidRDefault="00A61575" w:rsidP="007F1F1C">
            <w:r>
              <w:rPr>
                <w:rFonts w:eastAsia="Calibri"/>
              </w:rPr>
              <w:t>Employers</w:t>
            </w:r>
          </w:p>
        </w:tc>
        <w:tc>
          <w:tcPr>
            <w:tcW w:w="11340" w:type="dxa"/>
            <w:gridSpan w:val="3"/>
            <w:tcBorders>
              <w:top w:val="single" w:sz="6" w:space="0" w:color="000000"/>
              <w:bottom w:val="single" w:sz="6" w:space="0" w:color="000000"/>
              <w:right w:val="double" w:sz="6" w:space="0" w:color="000000"/>
            </w:tcBorders>
            <w:tcMar>
              <w:top w:w="8" w:type="dxa"/>
              <w:left w:w="118" w:type="dxa"/>
              <w:bottom w:w="8" w:type="dxa"/>
              <w:right w:w="108" w:type="dxa"/>
            </w:tcMar>
            <w:vAlign w:val="center"/>
            <w:hideMark/>
          </w:tcPr>
          <w:p w14:paraId="743A62AD" w14:textId="77777777" w:rsidR="00A61575" w:rsidRDefault="00A61575" w:rsidP="007F1F1C">
            <w:r>
              <w:rPr>
                <w:rFonts w:eastAsia="Calibri"/>
              </w:rPr>
              <w:t>US Dept. of Labor may exempt some employers with fewer than 50 employees</w:t>
            </w:r>
          </w:p>
        </w:tc>
      </w:tr>
      <w:tr w:rsidR="00A61575" w14:paraId="4AB5E982" w14:textId="77777777" w:rsidTr="000407A1">
        <w:trPr>
          <w:trHeight w:val="1044"/>
        </w:trPr>
        <w:tc>
          <w:tcPr>
            <w:tcW w:w="450" w:type="dxa"/>
            <w:tcBorders>
              <w:left w:val="double" w:sz="6" w:space="0" w:color="000000"/>
              <w:bottom w:val="single" w:sz="6" w:space="0" w:color="000000"/>
              <w:right w:val="single" w:sz="6" w:space="0" w:color="000000"/>
            </w:tcBorders>
            <w:tcMar>
              <w:top w:w="10" w:type="dxa"/>
              <w:left w:w="108" w:type="dxa"/>
              <w:bottom w:w="8" w:type="dxa"/>
              <w:right w:w="108" w:type="dxa"/>
            </w:tcMar>
            <w:vAlign w:val="center"/>
            <w:hideMark/>
          </w:tcPr>
          <w:p w14:paraId="3AC84181" w14:textId="77777777" w:rsidR="00A61575" w:rsidRDefault="00A61575" w:rsidP="007F1F1C">
            <w:r>
              <w:rPr>
                <w:rFonts w:eastAsia="Calibri"/>
              </w:rPr>
              <w:t> </w:t>
            </w:r>
          </w:p>
        </w:tc>
        <w:tc>
          <w:tcPr>
            <w:tcW w:w="2070" w:type="dxa"/>
            <w:tcBorders>
              <w:bottom w:val="single" w:sz="6" w:space="0" w:color="000000"/>
              <w:right w:val="single" w:sz="6" w:space="0" w:color="000000"/>
            </w:tcBorders>
            <w:tcMar>
              <w:top w:w="10" w:type="dxa"/>
              <w:left w:w="118" w:type="dxa"/>
              <w:bottom w:w="8" w:type="dxa"/>
              <w:right w:w="108" w:type="dxa"/>
            </w:tcMar>
            <w:vAlign w:val="center"/>
            <w:hideMark/>
          </w:tcPr>
          <w:p w14:paraId="2F85BB38" w14:textId="77777777" w:rsidR="00A61575" w:rsidRDefault="00A61575" w:rsidP="007F1F1C">
            <w:r>
              <w:rPr>
                <w:rFonts w:eastAsia="Calibri"/>
              </w:rPr>
              <w:t>Health care employees</w:t>
            </w:r>
          </w:p>
        </w:tc>
        <w:tc>
          <w:tcPr>
            <w:tcW w:w="7020" w:type="dxa"/>
            <w:gridSpan w:val="2"/>
            <w:tcBorders>
              <w:top w:val="single" w:sz="6" w:space="0" w:color="000000"/>
              <w:bottom w:val="single" w:sz="6" w:space="0" w:color="000000"/>
            </w:tcBorders>
            <w:tcMar>
              <w:top w:w="8" w:type="dxa"/>
              <w:left w:w="118" w:type="dxa"/>
              <w:bottom w:w="8" w:type="dxa"/>
              <w:right w:w="118" w:type="dxa"/>
            </w:tcMar>
            <w:vAlign w:val="center"/>
            <w:hideMark/>
          </w:tcPr>
          <w:p w14:paraId="386C2684" w14:textId="77777777" w:rsidR="00A61575" w:rsidRDefault="00A61575" w:rsidP="007F1F1C">
            <w:r>
              <w:rPr>
                <w:rFonts w:eastAsia="Calibri"/>
              </w:rPr>
              <w:t xml:space="preserve">As of 3/29, </w:t>
            </w:r>
            <w:r w:rsidRPr="009E2A04">
              <w:rPr>
                <w:rFonts w:eastAsia="Calibri"/>
              </w:rPr>
              <w:t xml:space="preserve">health centers can choose to deny emergency sick leave to </w:t>
            </w:r>
            <w:r w:rsidRPr="009E2A04">
              <w:rPr>
                <w:rFonts w:eastAsia="Calibri"/>
                <w:u w:val="single"/>
              </w:rPr>
              <w:t>all</w:t>
            </w:r>
            <w:r w:rsidRPr="009E2A04">
              <w:rPr>
                <w:rFonts w:eastAsia="Calibri"/>
              </w:rPr>
              <w:t xml:space="preserve"> emp</w:t>
            </w:r>
            <w:r w:rsidR="005E2699">
              <w:rPr>
                <w:rFonts w:eastAsia="Calibri"/>
              </w:rPr>
              <w:t>loyees (not just clinical staff</w:t>
            </w:r>
            <w:r w:rsidRPr="009E2A04">
              <w:rPr>
                <w:rFonts w:eastAsia="Calibri"/>
              </w:rPr>
              <w:t>)</w:t>
            </w:r>
            <w:r>
              <w:rPr>
                <w:rFonts w:eastAsia="Calibri"/>
              </w:rPr>
              <w:t xml:space="preserve">  PCAs &amp; HCCNs cannot deny this leave</w:t>
            </w:r>
          </w:p>
        </w:tc>
        <w:tc>
          <w:tcPr>
            <w:tcW w:w="4320" w:type="dxa"/>
            <w:tcBorders>
              <w:left w:val="single" w:sz="8" w:space="0" w:color="000000"/>
              <w:bottom w:val="single" w:sz="6" w:space="0" w:color="000000"/>
              <w:right w:val="double" w:sz="6" w:space="0" w:color="000000"/>
            </w:tcBorders>
            <w:tcMar>
              <w:top w:w="10" w:type="dxa"/>
              <w:left w:w="108" w:type="dxa"/>
              <w:bottom w:w="8" w:type="dxa"/>
              <w:right w:w="108" w:type="dxa"/>
            </w:tcMar>
            <w:vAlign w:val="center"/>
            <w:hideMark/>
          </w:tcPr>
          <w:p w14:paraId="280E6142" w14:textId="77777777" w:rsidR="00A61575" w:rsidRDefault="00A61575" w:rsidP="007F1F1C">
            <w:r>
              <w:rPr>
                <w:rFonts w:eastAsia="Calibri"/>
              </w:rPr>
              <w:t>Both employers and the US Dept of Labor can choose to deny this FML to all health center employees.</w:t>
            </w:r>
          </w:p>
        </w:tc>
      </w:tr>
      <w:tr w:rsidR="00A61575" w14:paraId="04150AD9" w14:textId="77777777" w:rsidTr="000407A1">
        <w:trPr>
          <w:trHeight w:val="1140"/>
        </w:trPr>
        <w:tc>
          <w:tcPr>
            <w:tcW w:w="2520" w:type="dxa"/>
            <w:gridSpan w:val="2"/>
            <w:tcBorders>
              <w:top w:val="single" w:sz="6" w:space="0" w:color="000000"/>
              <w:left w:val="double" w:sz="6" w:space="0" w:color="000000"/>
              <w:bottom w:val="single" w:sz="6" w:space="0" w:color="000000"/>
              <w:right w:val="single" w:sz="6" w:space="0" w:color="000000"/>
            </w:tcBorders>
            <w:tcMar>
              <w:top w:w="8" w:type="dxa"/>
              <w:left w:w="108" w:type="dxa"/>
              <w:bottom w:w="8" w:type="dxa"/>
              <w:right w:w="108" w:type="dxa"/>
            </w:tcMar>
            <w:vAlign w:val="center"/>
            <w:hideMark/>
          </w:tcPr>
          <w:p w14:paraId="3FCBF379" w14:textId="77777777" w:rsidR="00A61575" w:rsidRDefault="00A61575" w:rsidP="007F1F1C">
            <w:r>
              <w:rPr>
                <w:rFonts w:eastAsia="Calibri"/>
              </w:rPr>
              <w:t>How employers get REIMBURSED</w:t>
            </w:r>
          </w:p>
        </w:tc>
        <w:tc>
          <w:tcPr>
            <w:tcW w:w="11340" w:type="dxa"/>
            <w:gridSpan w:val="3"/>
            <w:tcBorders>
              <w:top w:val="single" w:sz="6" w:space="0" w:color="000000"/>
              <w:bottom w:val="single" w:sz="6" w:space="0" w:color="000000"/>
              <w:right w:val="double" w:sz="6" w:space="0" w:color="000000"/>
            </w:tcBorders>
            <w:tcMar>
              <w:top w:w="8" w:type="dxa"/>
              <w:left w:w="118" w:type="dxa"/>
              <w:bottom w:w="8" w:type="dxa"/>
              <w:right w:w="108" w:type="dxa"/>
            </w:tcMar>
            <w:vAlign w:val="center"/>
            <w:hideMark/>
          </w:tcPr>
          <w:p w14:paraId="0E483B3B" w14:textId="77777777" w:rsidR="00A61575" w:rsidRDefault="00A61575" w:rsidP="007F1F1C">
            <w:r>
              <w:rPr>
                <w:rFonts w:eastAsia="Calibri"/>
              </w:rPr>
              <w:t xml:space="preserve">Employers receive a refundable tax credit equal to 100% of the eligible leave costs described above.  The tax credit is applied against an employer’s total portion of Social Security taxes for the period, and is refundable. </w:t>
            </w:r>
          </w:p>
        </w:tc>
      </w:tr>
    </w:tbl>
    <w:p w14:paraId="364DD417" w14:textId="77777777" w:rsidR="008300EB" w:rsidRDefault="00FD2B93" w:rsidP="007F1F1C">
      <w:pPr>
        <w:pStyle w:val="Heading1"/>
      </w:pPr>
      <w:bookmarkStart w:id="37" w:name="_Toc37850331"/>
      <w:bookmarkStart w:id="38" w:name="_Hlk37858652"/>
      <w:r w:rsidRPr="00AD6A46">
        <w:lastRenderedPageBreak/>
        <w:t xml:space="preserve">Cashflow </w:t>
      </w:r>
      <w:r w:rsidR="008300EB">
        <w:t>o</w:t>
      </w:r>
      <w:r w:rsidRPr="00AD6A46">
        <w:t xml:space="preserve">ptions </w:t>
      </w:r>
      <w:r>
        <w:t xml:space="preserve">(beyond </w:t>
      </w:r>
      <w:r w:rsidR="008300EB">
        <w:t xml:space="preserve">HHS </w:t>
      </w:r>
      <w:r>
        <w:t xml:space="preserve">grants) </w:t>
      </w:r>
      <w:r w:rsidR="008300EB">
        <w:t xml:space="preserve">open </w:t>
      </w:r>
      <w:r>
        <w:t xml:space="preserve">to </w:t>
      </w:r>
      <w:r w:rsidRPr="00FD2B93">
        <w:rPr>
          <w:u w:val="single"/>
        </w:rPr>
        <w:t>all</w:t>
      </w:r>
      <w:r>
        <w:t xml:space="preserve"> </w:t>
      </w:r>
      <w:r w:rsidRPr="00FD2B93">
        <w:t>Health</w:t>
      </w:r>
      <w:r w:rsidRPr="00AD6A46">
        <w:t xml:space="preserve"> Centers</w:t>
      </w:r>
      <w:r>
        <w:t>, PCAs and HCCNs</w:t>
      </w:r>
      <w:bookmarkEnd w:id="37"/>
      <w:r>
        <w:t xml:space="preserve"> </w:t>
      </w:r>
    </w:p>
    <w:p w14:paraId="62CE451A" w14:textId="77777777" w:rsidR="00FD2B93" w:rsidRDefault="00FD2B93" w:rsidP="007F1F1C">
      <w:pPr>
        <w:pStyle w:val="Heading1"/>
      </w:pPr>
      <w:bookmarkStart w:id="39" w:name="_Toc37850332"/>
      <w:r>
        <w:t>d</w:t>
      </w:r>
      <w:r w:rsidRPr="00AD6A46">
        <w:t xml:space="preserve">uring the Covid-19 </w:t>
      </w:r>
      <w:bookmarkEnd w:id="39"/>
      <w:r w:rsidR="00ED0170">
        <w:t>Emergency</w:t>
      </w:r>
    </w:p>
    <w:bookmarkEnd w:id="38"/>
    <w:p w14:paraId="1E3DF2FB" w14:textId="77777777" w:rsidR="00FD2B93" w:rsidRPr="000407A1" w:rsidRDefault="00FD2B93" w:rsidP="007F1F1C">
      <w:pPr>
        <w:pStyle w:val="Heading1"/>
        <w:rPr>
          <w:b w:val="0"/>
          <w:bCs w:val="0"/>
          <w:i/>
          <w:iCs/>
          <w:sz w:val="28"/>
          <w:szCs w:val="28"/>
        </w:rPr>
      </w:pPr>
      <w:r w:rsidRPr="000407A1">
        <w:rPr>
          <w:b w:val="0"/>
          <w:bCs w:val="0"/>
          <w:i/>
          <w:iCs/>
          <w:sz w:val="28"/>
          <w:szCs w:val="28"/>
        </w:rPr>
        <w:t xml:space="preserve"> </w:t>
      </w:r>
      <w:bookmarkStart w:id="40" w:name="_Toc37850333"/>
      <w:r w:rsidRPr="000407A1">
        <w:rPr>
          <w:b w:val="0"/>
          <w:bCs w:val="0"/>
          <w:i/>
          <w:iCs/>
          <w:sz w:val="28"/>
          <w:szCs w:val="28"/>
        </w:rPr>
        <w:t>As of April 1</w:t>
      </w:r>
      <w:r w:rsidR="00280B92">
        <w:rPr>
          <w:b w:val="0"/>
          <w:bCs w:val="0"/>
          <w:i/>
          <w:iCs/>
          <w:sz w:val="28"/>
          <w:szCs w:val="28"/>
        </w:rPr>
        <w:t>5</w:t>
      </w:r>
      <w:r w:rsidRPr="000407A1">
        <w:rPr>
          <w:b w:val="0"/>
          <w:bCs w:val="0"/>
          <w:i/>
          <w:iCs/>
          <w:sz w:val="28"/>
          <w:szCs w:val="28"/>
        </w:rPr>
        <w:t>, page 1 of 2</w:t>
      </w:r>
      <w:bookmarkEnd w:id="40"/>
    </w:p>
    <w:p w14:paraId="499F3650" w14:textId="77777777" w:rsidR="00FD2B93" w:rsidRDefault="00FD2B93" w:rsidP="007F1F1C">
      <w:pPr>
        <w:rPr>
          <w:rFonts w:eastAsia="Calibri"/>
        </w:rPr>
      </w:pPr>
    </w:p>
    <w:tbl>
      <w:tblPr>
        <w:tblW w:w="13410" w:type="dxa"/>
        <w:tblInd w:w="-458"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764"/>
        <w:gridCol w:w="2714"/>
        <w:gridCol w:w="1520"/>
        <w:gridCol w:w="2269"/>
        <w:gridCol w:w="1844"/>
        <w:gridCol w:w="3299"/>
      </w:tblGrid>
      <w:tr w:rsidR="00D56AD4" w14:paraId="33C87358" w14:textId="77777777" w:rsidTr="00D56AD4">
        <w:tc>
          <w:tcPr>
            <w:tcW w:w="1764" w:type="dxa"/>
            <w:tcBorders>
              <w:top w:val="single" w:sz="6" w:space="0" w:color="000000"/>
              <w:bottom w:val="single" w:sz="6" w:space="0" w:color="000000"/>
              <w:right w:val="single" w:sz="6" w:space="0" w:color="000000"/>
            </w:tcBorders>
            <w:shd w:val="clear" w:color="auto" w:fill="D0CECE" w:themeFill="background2" w:themeFillShade="E6"/>
            <w:tcMar>
              <w:top w:w="8" w:type="dxa"/>
              <w:left w:w="108" w:type="dxa"/>
              <w:bottom w:w="8" w:type="dxa"/>
              <w:right w:w="108" w:type="dxa"/>
            </w:tcMar>
            <w:vAlign w:val="center"/>
          </w:tcPr>
          <w:p w14:paraId="7BF37E90" w14:textId="77777777" w:rsidR="00D56AD4" w:rsidRDefault="00D56AD4" w:rsidP="007F1F1C"/>
        </w:tc>
        <w:tc>
          <w:tcPr>
            <w:tcW w:w="2714" w:type="dxa"/>
            <w:tcBorders>
              <w:top w:val="single" w:sz="6" w:space="0" w:color="000000"/>
              <w:left w:val="single" w:sz="6" w:space="0" w:color="000000"/>
              <w:bottom w:val="single" w:sz="6" w:space="0" w:color="000000"/>
              <w:right w:val="single" w:sz="6" w:space="0" w:color="000000"/>
            </w:tcBorders>
            <w:shd w:val="clear" w:color="auto" w:fill="D0CECE" w:themeFill="background2" w:themeFillShade="E6"/>
            <w:tcMar>
              <w:top w:w="8" w:type="dxa"/>
              <w:left w:w="108" w:type="dxa"/>
              <w:bottom w:w="8" w:type="dxa"/>
              <w:right w:w="108" w:type="dxa"/>
            </w:tcMar>
            <w:vAlign w:val="center"/>
          </w:tcPr>
          <w:p w14:paraId="474B62E8" w14:textId="77777777" w:rsidR="00D56AD4" w:rsidRDefault="00D56AD4" w:rsidP="007F1F1C">
            <w:r>
              <w:rPr>
                <w:rFonts w:eastAsia="Calibri"/>
              </w:rPr>
              <w:t>What is it?</w:t>
            </w:r>
          </w:p>
        </w:tc>
        <w:tc>
          <w:tcPr>
            <w:tcW w:w="1520" w:type="dxa"/>
            <w:tcBorders>
              <w:top w:val="single" w:sz="6" w:space="0" w:color="000000"/>
              <w:left w:val="single" w:sz="6" w:space="0" w:color="000000"/>
              <w:bottom w:val="single" w:sz="6" w:space="0" w:color="000000"/>
              <w:right w:val="single" w:sz="6" w:space="0" w:color="000000"/>
            </w:tcBorders>
            <w:shd w:val="clear" w:color="auto" w:fill="D0CECE" w:themeFill="background2" w:themeFillShade="E6"/>
            <w:tcMar>
              <w:top w:w="8" w:type="dxa"/>
              <w:left w:w="108" w:type="dxa"/>
              <w:bottom w:w="8" w:type="dxa"/>
              <w:right w:w="108" w:type="dxa"/>
            </w:tcMar>
            <w:vAlign w:val="center"/>
          </w:tcPr>
          <w:p w14:paraId="321E3D37" w14:textId="77777777" w:rsidR="00D56AD4" w:rsidRDefault="00D56AD4" w:rsidP="007F1F1C">
            <w:r>
              <w:rPr>
                <w:rFonts w:eastAsia="Calibri"/>
              </w:rPr>
              <w:t>Who is eligible?</w:t>
            </w:r>
          </w:p>
        </w:tc>
        <w:tc>
          <w:tcPr>
            <w:tcW w:w="2269" w:type="dxa"/>
            <w:tcBorders>
              <w:top w:val="single" w:sz="6" w:space="0" w:color="000000"/>
              <w:left w:val="single" w:sz="6" w:space="0" w:color="000000"/>
              <w:bottom w:val="single" w:sz="6" w:space="0" w:color="000000"/>
              <w:right w:val="single" w:sz="6" w:space="0" w:color="000000"/>
            </w:tcBorders>
            <w:shd w:val="clear" w:color="auto" w:fill="D0CECE" w:themeFill="background2" w:themeFillShade="E6"/>
            <w:tcMar>
              <w:top w:w="8" w:type="dxa"/>
              <w:left w:w="108" w:type="dxa"/>
              <w:bottom w:w="8" w:type="dxa"/>
              <w:right w:w="108" w:type="dxa"/>
            </w:tcMar>
            <w:vAlign w:val="center"/>
          </w:tcPr>
          <w:p w14:paraId="4D1F4624" w14:textId="77777777" w:rsidR="00D56AD4" w:rsidRDefault="00D56AD4" w:rsidP="007F1F1C">
            <w:r>
              <w:rPr>
                <w:rFonts w:eastAsia="Calibri"/>
              </w:rPr>
              <w:t>What are the terms?</w:t>
            </w:r>
          </w:p>
        </w:tc>
        <w:tc>
          <w:tcPr>
            <w:tcW w:w="1844" w:type="dxa"/>
            <w:tcBorders>
              <w:top w:val="single" w:sz="6" w:space="0" w:color="000000"/>
              <w:left w:val="single" w:sz="6" w:space="0" w:color="000000"/>
              <w:bottom w:val="single" w:sz="6" w:space="0" w:color="000000"/>
            </w:tcBorders>
            <w:shd w:val="clear" w:color="auto" w:fill="D0CECE" w:themeFill="background2" w:themeFillShade="E6"/>
            <w:tcMar>
              <w:top w:w="8" w:type="dxa"/>
              <w:left w:w="108" w:type="dxa"/>
              <w:bottom w:w="8" w:type="dxa"/>
              <w:right w:w="108" w:type="dxa"/>
            </w:tcMar>
            <w:vAlign w:val="center"/>
          </w:tcPr>
          <w:p w14:paraId="43D2A0C7" w14:textId="77777777" w:rsidR="00D56AD4" w:rsidRDefault="00D56AD4" w:rsidP="007F1F1C">
            <w:r>
              <w:rPr>
                <w:rFonts w:eastAsia="Calibri"/>
              </w:rPr>
              <w:t>What to do?</w:t>
            </w:r>
          </w:p>
        </w:tc>
        <w:tc>
          <w:tcPr>
            <w:tcW w:w="3299" w:type="dxa"/>
            <w:tcBorders>
              <w:top w:val="single" w:sz="6" w:space="0" w:color="000000"/>
              <w:left w:val="single" w:sz="6" w:space="0" w:color="000000"/>
              <w:bottom w:val="single" w:sz="6" w:space="0" w:color="000000"/>
              <w:right w:val="single" w:sz="6" w:space="0" w:color="000000"/>
            </w:tcBorders>
            <w:shd w:val="clear" w:color="auto" w:fill="D0CECE" w:themeFill="background2" w:themeFillShade="E6"/>
          </w:tcPr>
          <w:p w14:paraId="026ED9FF" w14:textId="77777777" w:rsidR="00D56AD4" w:rsidRDefault="00D56AD4" w:rsidP="007F1F1C">
            <w:pPr>
              <w:rPr>
                <w:rFonts w:eastAsia="Calibri"/>
              </w:rPr>
            </w:pPr>
            <w:r>
              <w:rPr>
                <w:rFonts w:eastAsia="Calibri"/>
              </w:rPr>
              <w:t xml:space="preserve">Experience, </w:t>
            </w:r>
          </w:p>
          <w:p w14:paraId="71ADCE18" w14:textId="77777777" w:rsidR="00D56AD4" w:rsidRDefault="00D56AD4" w:rsidP="007F1F1C">
            <w:pPr>
              <w:rPr>
                <w:rFonts w:eastAsia="Calibri"/>
              </w:rPr>
            </w:pPr>
            <w:r>
              <w:rPr>
                <w:rFonts w:eastAsia="Calibri"/>
              </w:rPr>
              <w:t xml:space="preserve">Suggestions, etc. </w:t>
            </w:r>
          </w:p>
        </w:tc>
      </w:tr>
      <w:tr w:rsidR="00D56AD4" w:rsidRPr="006B4B89" w14:paraId="173304C0" w14:textId="77777777" w:rsidTr="00D56AD4">
        <w:tc>
          <w:tcPr>
            <w:tcW w:w="1764" w:type="dxa"/>
            <w:tcBorders>
              <w:top w:val="single" w:sz="6" w:space="0" w:color="000000"/>
              <w:bottom w:val="single" w:sz="6" w:space="0" w:color="000000"/>
              <w:right w:val="single" w:sz="6" w:space="0" w:color="000000"/>
            </w:tcBorders>
            <w:tcMar>
              <w:top w:w="8" w:type="dxa"/>
              <w:left w:w="108" w:type="dxa"/>
              <w:bottom w:w="8" w:type="dxa"/>
              <w:right w:w="108" w:type="dxa"/>
            </w:tcMar>
            <w:vAlign w:val="center"/>
          </w:tcPr>
          <w:p w14:paraId="2BFDD4DB" w14:textId="77777777" w:rsidR="00D56AD4" w:rsidRDefault="00D56AD4" w:rsidP="007F1F1C">
            <w:pPr>
              <w:rPr>
                <w:rFonts w:eastAsia="Calibri"/>
              </w:rPr>
            </w:pPr>
            <w:r>
              <w:rPr>
                <w:rFonts w:eastAsia="Calibri"/>
              </w:rPr>
              <w:t>Main Street Loans</w:t>
            </w:r>
          </w:p>
        </w:tc>
        <w:tc>
          <w:tcPr>
            <w:tcW w:w="271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14:paraId="43DB9FE3" w14:textId="77777777" w:rsidR="00D56AD4" w:rsidRPr="006B4B89" w:rsidRDefault="00D56AD4" w:rsidP="007F1F1C">
            <w:pPr>
              <w:rPr>
                <w:rFonts w:eastAsia="Calibri"/>
              </w:rPr>
            </w:pPr>
            <w:r>
              <w:rPr>
                <w:rFonts w:eastAsia="Calibri"/>
              </w:rPr>
              <w:t xml:space="preserve">Federally-backed loans between $1 million - $25 million with favorable terms.  NOT forgivable. </w:t>
            </w:r>
          </w:p>
        </w:tc>
        <w:tc>
          <w:tcPr>
            <w:tcW w:w="152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14:paraId="5B91A87F" w14:textId="77777777" w:rsidR="00D56AD4" w:rsidRPr="006B4B89" w:rsidRDefault="00D56AD4" w:rsidP="007F1F1C">
            <w:pPr>
              <w:rPr>
                <w:rFonts w:eastAsia="Calibri"/>
              </w:rPr>
            </w:pPr>
            <w:r>
              <w:rPr>
                <w:rFonts w:eastAsia="Calibri"/>
              </w:rPr>
              <w:t xml:space="preserve">All businesses with less than 10,000 staff </w:t>
            </w:r>
          </w:p>
        </w:tc>
        <w:tc>
          <w:tcPr>
            <w:tcW w:w="226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14:paraId="7DF9F297" w14:textId="77777777" w:rsidR="00D56AD4" w:rsidRPr="006B4B89" w:rsidRDefault="00D56AD4" w:rsidP="007F1F1C">
            <w:pPr>
              <w:rPr>
                <w:rFonts w:eastAsia="Calibri"/>
              </w:rPr>
            </w:pPr>
            <w:r>
              <w:rPr>
                <w:rFonts w:eastAsia="Calibri"/>
              </w:rPr>
              <w:t xml:space="preserve">Four years; no principal due or interest incurred </w:t>
            </w:r>
            <w:r w:rsidR="00C6626F">
              <w:rPr>
                <w:rFonts w:eastAsia="Calibri"/>
              </w:rPr>
              <w:t>for</w:t>
            </w:r>
            <w:r>
              <w:rPr>
                <w:rFonts w:eastAsia="Calibri"/>
              </w:rPr>
              <w:t xml:space="preserve"> first year; low interest</w:t>
            </w:r>
          </w:p>
        </w:tc>
        <w:tc>
          <w:tcPr>
            <w:tcW w:w="1844" w:type="dxa"/>
            <w:tcBorders>
              <w:top w:val="single" w:sz="6" w:space="0" w:color="000000"/>
              <w:left w:val="single" w:sz="6" w:space="0" w:color="000000"/>
              <w:bottom w:val="single" w:sz="6" w:space="0" w:color="000000"/>
            </w:tcBorders>
            <w:tcMar>
              <w:top w:w="8" w:type="dxa"/>
              <w:left w:w="108" w:type="dxa"/>
              <w:bottom w:w="8" w:type="dxa"/>
              <w:right w:w="108" w:type="dxa"/>
            </w:tcMar>
            <w:vAlign w:val="center"/>
          </w:tcPr>
          <w:p w14:paraId="78DC7E9E" w14:textId="77777777" w:rsidR="00D56AD4" w:rsidRPr="006B4B89" w:rsidRDefault="00224F6E" w:rsidP="007F1F1C">
            <w:pPr>
              <w:rPr>
                <w:rFonts w:eastAsia="Calibri"/>
              </w:rPr>
            </w:pPr>
            <w:r>
              <w:rPr>
                <w:rFonts w:eastAsia="Calibri"/>
              </w:rPr>
              <w:t>Applications not yet being accepted.  Interested CHCs should r</w:t>
            </w:r>
            <w:r w:rsidR="00D56AD4">
              <w:rPr>
                <w:rFonts w:eastAsia="Calibri"/>
              </w:rPr>
              <w:t>eview requirements once finalize</w:t>
            </w:r>
            <w:r>
              <w:rPr>
                <w:rFonts w:eastAsia="Calibri"/>
              </w:rPr>
              <w:t>d; gather needed  paperwork now.</w:t>
            </w:r>
          </w:p>
        </w:tc>
        <w:tc>
          <w:tcPr>
            <w:tcW w:w="3299" w:type="dxa"/>
            <w:tcBorders>
              <w:top w:val="single" w:sz="6" w:space="0" w:color="000000"/>
              <w:left w:val="single" w:sz="6" w:space="0" w:color="000000"/>
              <w:bottom w:val="single" w:sz="6" w:space="0" w:color="000000"/>
              <w:right w:val="single" w:sz="6" w:space="0" w:color="000000"/>
            </w:tcBorders>
          </w:tcPr>
          <w:p w14:paraId="3DF265AA" w14:textId="77777777" w:rsidR="00D56AD4" w:rsidRDefault="00D56AD4" w:rsidP="007F1F1C">
            <w:pPr>
              <w:rPr>
                <w:rFonts w:eastAsia="Calibri"/>
              </w:rPr>
            </w:pPr>
            <w:r>
              <w:rPr>
                <w:rFonts w:eastAsia="Calibri"/>
              </w:rPr>
              <w:t xml:space="preserve">Many key requirements – e.g., to retain and rehire staff – are still forthcoming.  </w:t>
            </w:r>
          </w:p>
        </w:tc>
      </w:tr>
      <w:tr w:rsidR="00D56AD4" w:rsidRPr="006B4B89" w14:paraId="69C2BF35" w14:textId="77777777" w:rsidTr="00D56AD4">
        <w:tc>
          <w:tcPr>
            <w:tcW w:w="1764" w:type="dxa"/>
            <w:tcBorders>
              <w:top w:val="single" w:sz="6" w:space="0" w:color="000000"/>
              <w:bottom w:val="single" w:sz="6" w:space="0" w:color="000000"/>
              <w:right w:val="single" w:sz="6" w:space="0" w:color="000000"/>
            </w:tcBorders>
            <w:tcMar>
              <w:top w:w="8" w:type="dxa"/>
              <w:left w:w="108" w:type="dxa"/>
              <w:bottom w:w="8" w:type="dxa"/>
              <w:right w:w="108" w:type="dxa"/>
            </w:tcMar>
            <w:vAlign w:val="center"/>
            <w:hideMark/>
          </w:tcPr>
          <w:p w14:paraId="1B49F2FF" w14:textId="77777777" w:rsidR="00D56AD4" w:rsidRDefault="00D56AD4" w:rsidP="007F1F1C">
            <w:r>
              <w:rPr>
                <w:rFonts w:eastAsia="Calibri"/>
              </w:rPr>
              <w:t>Economic Injury Disaster Loans</w:t>
            </w:r>
          </w:p>
        </w:tc>
        <w:tc>
          <w:tcPr>
            <w:tcW w:w="271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hideMark/>
          </w:tcPr>
          <w:p w14:paraId="7EFBF1C8" w14:textId="77777777" w:rsidR="00D56AD4" w:rsidRPr="006B4B89" w:rsidRDefault="00D56AD4" w:rsidP="007F1F1C">
            <w:r w:rsidRPr="006B4B89">
              <w:rPr>
                <w:rFonts w:eastAsia="Calibri"/>
              </w:rPr>
              <w:t>Small Business Administration (SBA) loan for up to $2 million, including a $10,000 grant up front. May be used to pay fixed debts, payroll, accounts payable and other bills that can’t be paid because of the disaster’s impact.</w:t>
            </w:r>
          </w:p>
        </w:tc>
        <w:tc>
          <w:tcPr>
            <w:tcW w:w="152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hideMark/>
          </w:tcPr>
          <w:p w14:paraId="22777AFF" w14:textId="77777777" w:rsidR="00D56AD4" w:rsidRPr="006B4B89" w:rsidRDefault="00D56AD4" w:rsidP="007F1F1C">
            <w:r w:rsidRPr="006B4B89">
              <w:rPr>
                <w:rFonts w:eastAsia="Calibri"/>
              </w:rPr>
              <w:t xml:space="preserve">All health centers, </w:t>
            </w:r>
            <w:r>
              <w:rPr>
                <w:rFonts w:eastAsia="Calibri"/>
              </w:rPr>
              <w:t xml:space="preserve">PCAs, and HCCNs, </w:t>
            </w:r>
            <w:r w:rsidRPr="006B4B89">
              <w:rPr>
                <w:rFonts w:eastAsia="Calibri"/>
              </w:rPr>
              <w:t xml:space="preserve">regardless of size. </w:t>
            </w:r>
          </w:p>
        </w:tc>
        <w:tc>
          <w:tcPr>
            <w:tcW w:w="226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hideMark/>
          </w:tcPr>
          <w:p w14:paraId="5CB64D7F" w14:textId="77777777" w:rsidR="00D56AD4" w:rsidRPr="006B4B89" w:rsidRDefault="00D56AD4" w:rsidP="007F1F1C">
            <w:r w:rsidRPr="006B4B89">
              <w:rPr>
                <w:rFonts w:eastAsia="Calibri"/>
              </w:rPr>
              <w:t xml:space="preserve">Interest rate of 2.75%, payable over up to 30 years. Can defer initial payments for up to a year. </w:t>
            </w:r>
          </w:p>
        </w:tc>
        <w:tc>
          <w:tcPr>
            <w:tcW w:w="1844" w:type="dxa"/>
            <w:tcBorders>
              <w:top w:val="single" w:sz="6" w:space="0" w:color="000000"/>
              <w:left w:val="single" w:sz="6" w:space="0" w:color="000000"/>
              <w:bottom w:val="single" w:sz="6" w:space="0" w:color="000000"/>
            </w:tcBorders>
            <w:tcMar>
              <w:top w:w="8" w:type="dxa"/>
              <w:left w:w="108" w:type="dxa"/>
              <w:bottom w:w="8" w:type="dxa"/>
              <w:right w:w="108" w:type="dxa"/>
            </w:tcMar>
            <w:vAlign w:val="center"/>
            <w:hideMark/>
          </w:tcPr>
          <w:p w14:paraId="58C7D834" w14:textId="77777777" w:rsidR="00D56AD4" w:rsidRPr="006B4B89" w:rsidRDefault="00D56AD4" w:rsidP="007F1F1C">
            <w:r w:rsidRPr="006B4B89">
              <w:rPr>
                <w:rFonts w:eastAsia="Calibri"/>
              </w:rPr>
              <w:t xml:space="preserve">Apply directly at the SBA. Applicants may </w:t>
            </w:r>
            <w:hyperlink r:id="rId40" w:history="1">
              <w:r w:rsidRPr="006B4B89">
                <w:rPr>
                  <w:rFonts w:eastAsia="Calibri"/>
                  <w:color w:val="0563C1"/>
                  <w:u w:val="single" w:color="0563C1"/>
                </w:rPr>
                <w:t>apply online</w:t>
              </w:r>
            </w:hyperlink>
            <w:r w:rsidRPr="006B4B89">
              <w:rPr>
                <w:rFonts w:eastAsia="Calibri"/>
              </w:rPr>
              <w:t xml:space="preserve"> or call 1-800-659-2955.</w:t>
            </w:r>
          </w:p>
        </w:tc>
        <w:tc>
          <w:tcPr>
            <w:tcW w:w="3299" w:type="dxa"/>
            <w:tcBorders>
              <w:top w:val="single" w:sz="6" w:space="0" w:color="000000"/>
              <w:left w:val="single" w:sz="6" w:space="0" w:color="000000"/>
              <w:bottom w:val="single" w:sz="6" w:space="0" w:color="000000"/>
              <w:right w:val="single" w:sz="6" w:space="0" w:color="000000"/>
            </w:tcBorders>
          </w:tcPr>
          <w:p w14:paraId="05BE1F48" w14:textId="77777777" w:rsidR="00D56AD4" w:rsidRPr="006B4B89" w:rsidRDefault="00D56AD4" w:rsidP="007F1F1C">
            <w:pPr>
              <w:rPr>
                <w:rFonts w:eastAsia="Calibri"/>
              </w:rPr>
            </w:pPr>
            <w:r w:rsidRPr="006B4B89">
              <w:rPr>
                <w:rFonts w:eastAsia="Calibri"/>
              </w:rPr>
              <w:t>System is overwhelmed.  Actual loans being limited to $15,000 per month.  Wait times on hold are extremely long.  SBA staff may not be well trained that non-profits with over 500 staff are eligible.</w:t>
            </w:r>
          </w:p>
        </w:tc>
      </w:tr>
      <w:tr w:rsidR="00D56AD4" w:rsidRPr="006B4B89" w14:paraId="5E76B1C3" w14:textId="77777777" w:rsidTr="00D56AD4">
        <w:trPr>
          <w:trHeight w:val="1345"/>
        </w:trPr>
        <w:tc>
          <w:tcPr>
            <w:tcW w:w="1764" w:type="dxa"/>
            <w:tcBorders>
              <w:top w:val="single" w:sz="6" w:space="0" w:color="000000"/>
              <w:bottom w:val="single" w:sz="6" w:space="0" w:color="000000"/>
              <w:right w:val="single" w:sz="6" w:space="0" w:color="000000"/>
            </w:tcBorders>
            <w:tcMar>
              <w:top w:w="8" w:type="dxa"/>
              <w:left w:w="108" w:type="dxa"/>
              <w:bottom w:w="8" w:type="dxa"/>
              <w:right w:w="108" w:type="dxa"/>
            </w:tcMar>
            <w:vAlign w:val="center"/>
            <w:hideMark/>
          </w:tcPr>
          <w:p w14:paraId="6F2E3AFA" w14:textId="77777777" w:rsidR="00D56AD4" w:rsidRPr="008B1F5F" w:rsidRDefault="00D56AD4" w:rsidP="007F1F1C">
            <w:pPr>
              <w:rPr>
                <w:color w:val="000000"/>
              </w:rPr>
            </w:pPr>
            <w:r>
              <w:t>Federal tax credits for e</w:t>
            </w:r>
            <w:r w:rsidRPr="008B1F5F">
              <w:t xml:space="preserve">mployee retention </w:t>
            </w:r>
          </w:p>
        </w:tc>
        <w:tc>
          <w:tcPr>
            <w:tcW w:w="271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hideMark/>
          </w:tcPr>
          <w:p w14:paraId="5B998A25" w14:textId="77777777" w:rsidR="00D56AD4" w:rsidRPr="006B4B89" w:rsidRDefault="00D56AD4" w:rsidP="007F1F1C">
            <w:r w:rsidRPr="006B4B89">
              <w:t>Refundable credits of up to $5,000 per quarter for each employee who is not actively “providing services” due to COVID-19.</w:t>
            </w:r>
          </w:p>
        </w:tc>
        <w:tc>
          <w:tcPr>
            <w:tcW w:w="152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hideMark/>
          </w:tcPr>
          <w:p w14:paraId="2C559B10" w14:textId="77777777" w:rsidR="00D56AD4" w:rsidRPr="006B4B89" w:rsidRDefault="00D56AD4" w:rsidP="007F1F1C">
            <w:r w:rsidRPr="006B4B89">
              <w:t>All employers who</w:t>
            </w:r>
            <w:r w:rsidR="005E2699">
              <w:t xml:space="preserve"> can demonstrate financial harm.</w:t>
            </w:r>
          </w:p>
        </w:tc>
        <w:tc>
          <w:tcPr>
            <w:tcW w:w="226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hideMark/>
          </w:tcPr>
          <w:p w14:paraId="6B2A84AF" w14:textId="77777777" w:rsidR="00D56AD4" w:rsidRPr="006B4B89" w:rsidRDefault="00D56AD4" w:rsidP="007F1F1C">
            <w:r w:rsidRPr="006B4B89">
              <w:t>Employee must be unable to “provide services” due to COVID-19.  Unclear if reassigned employees qualify.</w:t>
            </w:r>
          </w:p>
        </w:tc>
        <w:tc>
          <w:tcPr>
            <w:tcW w:w="1844" w:type="dxa"/>
            <w:tcBorders>
              <w:top w:val="single" w:sz="6" w:space="0" w:color="000000"/>
              <w:left w:val="single" w:sz="6" w:space="0" w:color="000000"/>
              <w:bottom w:val="single" w:sz="6" w:space="0" w:color="000000"/>
            </w:tcBorders>
            <w:tcMar>
              <w:top w:w="8" w:type="dxa"/>
              <w:left w:w="108" w:type="dxa"/>
              <w:bottom w:w="8" w:type="dxa"/>
              <w:right w:w="108" w:type="dxa"/>
            </w:tcMar>
            <w:vAlign w:val="center"/>
            <w:hideMark/>
          </w:tcPr>
          <w:p w14:paraId="59311F8A" w14:textId="77777777" w:rsidR="00D56AD4" w:rsidRPr="006B4B89" w:rsidRDefault="00D56AD4" w:rsidP="007F1F1C">
            <w:pPr>
              <w:rPr>
                <w:color w:val="000000"/>
              </w:rPr>
            </w:pPr>
            <w:r w:rsidRPr="006B4B89">
              <w:rPr>
                <w:color w:val="000000"/>
              </w:rPr>
              <w:t xml:space="preserve">Either deduct credit from tax deposits or request an IRS advance using </w:t>
            </w:r>
            <w:hyperlink r:id="rId41" w:tgtFrame="_blank" w:history="1">
              <w:r w:rsidRPr="006B4B89">
                <w:rPr>
                  <w:color w:val="428BCA"/>
                  <w:u w:val="single"/>
                </w:rPr>
                <w:t>Form 7200</w:t>
              </w:r>
            </w:hyperlink>
            <w:r w:rsidR="005E2699" w:rsidRPr="005E2699">
              <w:t>.</w:t>
            </w:r>
          </w:p>
        </w:tc>
        <w:tc>
          <w:tcPr>
            <w:tcW w:w="3299" w:type="dxa"/>
            <w:tcBorders>
              <w:top w:val="single" w:sz="6" w:space="0" w:color="000000"/>
              <w:left w:val="single" w:sz="6" w:space="0" w:color="000000"/>
              <w:bottom w:val="single" w:sz="6" w:space="0" w:color="000000"/>
              <w:right w:val="single" w:sz="6" w:space="0" w:color="000000"/>
            </w:tcBorders>
          </w:tcPr>
          <w:p w14:paraId="4C93D59C" w14:textId="77777777" w:rsidR="00D56AD4" w:rsidRPr="006B4B89" w:rsidRDefault="00D56AD4" w:rsidP="007F1F1C"/>
        </w:tc>
      </w:tr>
    </w:tbl>
    <w:p w14:paraId="0A8E7BDB" w14:textId="77777777" w:rsidR="00A10895" w:rsidRDefault="00A10895" w:rsidP="007F1F1C">
      <w:r>
        <w:br w:type="page"/>
      </w:r>
    </w:p>
    <w:p w14:paraId="17323742" w14:textId="77777777" w:rsidR="008300EB" w:rsidRDefault="00A10895" w:rsidP="007F1F1C">
      <w:pPr>
        <w:pStyle w:val="Heading1"/>
      </w:pPr>
      <w:bookmarkStart w:id="41" w:name="_Toc37850334"/>
      <w:r w:rsidRPr="00AD6A46">
        <w:lastRenderedPageBreak/>
        <w:t xml:space="preserve">Cashflow Options </w:t>
      </w:r>
      <w:r>
        <w:t>(beyond</w:t>
      </w:r>
      <w:r w:rsidR="00C01EC4">
        <w:t xml:space="preserve"> HHS</w:t>
      </w:r>
      <w:r>
        <w:t xml:space="preserve"> grants) </w:t>
      </w:r>
      <w:r w:rsidR="008300EB">
        <w:t>open</w:t>
      </w:r>
      <w:r>
        <w:t xml:space="preserve"> to </w:t>
      </w:r>
      <w:r w:rsidRPr="00FD2B93">
        <w:rPr>
          <w:u w:val="single"/>
        </w:rPr>
        <w:t>all</w:t>
      </w:r>
      <w:r>
        <w:t xml:space="preserve"> </w:t>
      </w:r>
      <w:r w:rsidRPr="00FD2B93">
        <w:t>Health</w:t>
      </w:r>
      <w:r w:rsidRPr="00AD6A46">
        <w:t xml:space="preserve"> Centers</w:t>
      </w:r>
      <w:r>
        <w:t>, PCAs and HCCNs</w:t>
      </w:r>
      <w:bookmarkEnd w:id="41"/>
      <w:r>
        <w:t xml:space="preserve"> </w:t>
      </w:r>
    </w:p>
    <w:p w14:paraId="7C7EA961" w14:textId="77777777" w:rsidR="00A10895" w:rsidRDefault="00A10895" w:rsidP="007F1F1C">
      <w:pPr>
        <w:pStyle w:val="Heading1"/>
      </w:pPr>
      <w:bookmarkStart w:id="42" w:name="_Toc37850335"/>
      <w:r>
        <w:t>d</w:t>
      </w:r>
      <w:r w:rsidRPr="00AD6A46">
        <w:t xml:space="preserve">uring the Covid-19 </w:t>
      </w:r>
      <w:bookmarkEnd w:id="42"/>
      <w:r w:rsidR="00ED0170">
        <w:t>Emergency</w:t>
      </w:r>
    </w:p>
    <w:p w14:paraId="2234D63E" w14:textId="77777777" w:rsidR="00A10895" w:rsidRPr="000407A1" w:rsidRDefault="00A10895" w:rsidP="007F1F1C">
      <w:pPr>
        <w:pStyle w:val="Heading1"/>
        <w:rPr>
          <w:b w:val="0"/>
          <w:bCs w:val="0"/>
          <w:i/>
          <w:iCs/>
          <w:sz w:val="28"/>
          <w:szCs w:val="28"/>
        </w:rPr>
      </w:pPr>
      <w:r w:rsidRPr="000407A1">
        <w:rPr>
          <w:b w:val="0"/>
          <w:bCs w:val="0"/>
          <w:i/>
          <w:iCs/>
          <w:sz w:val="28"/>
          <w:szCs w:val="28"/>
        </w:rPr>
        <w:t xml:space="preserve"> </w:t>
      </w:r>
      <w:bookmarkStart w:id="43" w:name="_Toc37850336"/>
      <w:r w:rsidRPr="000407A1">
        <w:rPr>
          <w:b w:val="0"/>
          <w:bCs w:val="0"/>
          <w:i/>
          <w:iCs/>
          <w:sz w:val="28"/>
          <w:szCs w:val="28"/>
        </w:rPr>
        <w:t>As of April 1</w:t>
      </w:r>
      <w:r w:rsidR="00280B92">
        <w:rPr>
          <w:b w:val="0"/>
          <w:bCs w:val="0"/>
          <w:i/>
          <w:iCs/>
          <w:sz w:val="28"/>
          <w:szCs w:val="28"/>
        </w:rPr>
        <w:t>5</w:t>
      </w:r>
      <w:r w:rsidRPr="000407A1">
        <w:rPr>
          <w:b w:val="0"/>
          <w:bCs w:val="0"/>
          <w:i/>
          <w:iCs/>
          <w:sz w:val="28"/>
          <w:szCs w:val="28"/>
        </w:rPr>
        <w:t xml:space="preserve">, page </w:t>
      </w:r>
      <w:r w:rsidR="006F5FBB" w:rsidRPr="000407A1">
        <w:rPr>
          <w:b w:val="0"/>
          <w:bCs w:val="0"/>
          <w:i/>
          <w:iCs/>
          <w:sz w:val="28"/>
          <w:szCs w:val="28"/>
        </w:rPr>
        <w:t>2</w:t>
      </w:r>
      <w:r w:rsidRPr="000407A1">
        <w:rPr>
          <w:b w:val="0"/>
          <w:bCs w:val="0"/>
          <w:i/>
          <w:iCs/>
          <w:sz w:val="28"/>
          <w:szCs w:val="28"/>
        </w:rPr>
        <w:t xml:space="preserve"> of 2</w:t>
      </w:r>
      <w:bookmarkEnd w:id="43"/>
    </w:p>
    <w:p w14:paraId="600BC07E" w14:textId="77777777" w:rsidR="00A10895" w:rsidRDefault="00A10895" w:rsidP="007F1F1C"/>
    <w:tbl>
      <w:tblPr>
        <w:tblW w:w="13500" w:type="dxa"/>
        <w:tblInd w:w="-458"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797"/>
        <w:gridCol w:w="3004"/>
        <w:gridCol w:w="1396"/>
        <w:gridCol w:w="2788"/>
        <w:gridCol w:w="2049"/>
        <w:gridCol w:w="2466"/>
      </w:tblGrid>
      <w:tr w:rsidR="000407A1" w14:paraId="4DD1DC4B" w14:textId="77777777" w:rsidTr="00392F09">
        <w:tc>
          <w:tcPr>
            <w:tcW w:w="1799" w:type="dxa"/>
            <w:tcBorders>
              <w:top w:val="single" w:sz="6" w:space="0" w:color="000000"/>
              <w:bottom w:val="single" w:sz="6" w:space="0" w:color="000000"/>
              <w:right w:val="single" w:sz="6" w:space="0" w:color="000000"/>
            </w:tcBorders>
            <w:shd w:val="clear" w:color="auto" w:fill="D0CECE" w:themeFill="background2" w:themeFillShade="E6"/>
            <w:tcMar>
              <w:top w:w="8" w:type="dxa"/>
              <w:left w:w="108" w:type="dxa"/>
              <w:bottom w:w="8" w:type="dxa"/>
              <w:right w:w="108" w:type="dxa"/>
            </w:tcMar>
            <w:vAlign w:val="center"/>
          </w:tcPr>
          <w:p w14:paraId="3DE495EA" w14:textId="77777777" w:rsidR="000407A1" w:rsidRDefault="000407A1" w:rsidP="007F1F1C"/>
        </w:tc>
        <w:tc>
          <w:tcPr>
            <w:tcW w:w="3061" w:type="dxa"/>
            <w:tcBorders>
              <w:top w:val="single" w:sz="6" w:space="0" w:color="000000"/>
              <w:left w:val="single" w:sz="6" w:space="0" w:color="000000"/>
              <w:bottom w:val="single" w:sz="6" w:space="0" w:color="000000"/>
              <w:right w:val="single" w:sz="6" w:space="0" w:color="000000"/>
            </w:tcBorders>
            <w:shd w:val="clear" w:color="auto" w:fill="D0CECE" w:themeFill="background2" w:themeFillShade="E6"/>
            <w:tcMar>
              <w:top w:w="8" w:type="dxa"/>
              <w:left w:w="108" w:type="dxa"/>
              <w:bottom w:w="8" w:type="dxa"/>
              <w:right w:w="108" w:type="dxa"/>
            </w:tcMar>
            <w:vAlign w:val="center"/>
          </w:tcPr>
          <w:p w14:paraId="0557FA51" w14:textId="77777777" w:rsidR="000407A1" w:rsidRDefault="000407A1" w:rsidP="007F1F1C">
            <w:r>
              <w:rPr>
                <w:rFonts w:eastAsia="Calibri"/>
              </w:rPr>
              <w:t>What is it?</w:t>
            </w:r>
          </w:p>
        </w:tc>
        <w:tc>
          <w:tcPr>
            <w:tcW w:w="1201" w:type="dxa"/>
            <w:tcBorders>
              <w:top w:val="single" w:sz="6" w:space="0" w:color="000000"/>
              <w:left w:val="single" w:sz="6" w:space="0" w:color="000000"/>
              <w:bottom w:val="single" w:sz="6" w:space="0" w:color="000000"/>
              <w:right w:val="single" w:sz="6" w:space="0" w:color="000000"/>
            </w:tcBorders>
            <w:shd w:val="clear" w:color="auto" w:fill="D0CECE" w:themeFill="background2" w:themeFillShade="E6"/>
            <w:tcMar>
              <w:top w:w="8" w:type="dxa"/>
              <w:left w:w="108" w:type="dxa"/>
              <w:bottom w:w="8" w:type="dxa"/>
              <w:right w:w="108" w:type="dxa"/>
            </w:tcMar>
            <w:vAlign w:val="center"/>
          </w:tcPr>
          <w:p w14:paraId="1B2AB3C5" w14:textId="77777777" w:rsidR="000407A1" w:rsidRDefault="000407A1" w:rsidP="007F1F1C">
            <w:r>
              <w:rPr>
                <w:rFonts w:eastAsia="Calibri"/>
              </w:rPr>
              <w:t>Who is eligible?</w:t>
            </w:r>
          </w:p>
        </w:tc>
        <w:tc>
          <w:tcPr>
            <w:tcW w:w="2849" w:type="dxa"/>
            <w:tcBorders>
              <w:top w:val="single" w:sz="6" w:space="0" w:color="000000"/>
              <w:left w:val="single" w:sz="6" w:space="0" w:color="000000"/>
              <w:bottom w:val="single" w:sz="6" w:space="0" w:color="000000"/>
              <w:right w:val="single" w:sz="6" w:space="0" w:color="000000"/>
            </w:tcBorders>
            <w:shd w:val="clear" w:color="auto" w:fill="D0CECE" w:themeFill="background2" w:themeFillShade="E6"/>
            <w:tcMar>
              <w:top w:w="8" w:type="dxa"/>
              <w:left w:w="108" w:type="dxa"/>
              <w:bottom w:w="8" w:type="dxa"/>
              <w:right w:w="108" w:type="dxa"/>
            </w:tcMar>
            <w:vAlign w:val="center"/>
          </w:tcPr>
          <w:p w14:paraId="503F44D6" w14:textId="77777777" w:rsidR="000407A1" w:rsidRDefault="000407A1" w:rsidP="007F1F1C">
            <w:r>
              <w:rPr>
                <w:rFonts w:eastAsia="Calibri"/>
              </w:rPr>
              <w:t>What are the terms?</w:t>
            </w:r>
          </w:p>
        </w:tc>
        <w:tc>
          <w:tcPr>
            <w:tcW w:w="2070" w:type="dxa"/>
            <w:tcBorders>
              <w:top w:val="single" w:sz="6" w:space="0" w:color="000000"/>
              <w:left w:val="single" w:sz="6" w:space="0" w:color="000000"/>
              <w:bottom w:val="single" w:sz="6" w:space="0" w:color="000000"/>
            </w:tcBorders>
            <w:shd w:val="clear" w:color="auto" w:fill="D0CECE" w:themeFill="background2" w:themeFillShade="E6"/>
            <w:tcMar>
              <w:top w:w="8" w:type="dxa"/>
              <w:left w:w="108" w:type="dxa"/>
              <w:bottom w:w="8" w:type="dxa"/>
              <w:right w:w="108" w:type="dxa"/>
            </w:tcMar>
            <w:vAlign w:val="center"/>
          </w:tcPr>
          <w:p w14:paraId="2640AF65" w14:textId="77777777" w:rsidR="000407A1" w:rsidRDefault="000407A1" w:rsidP="007F1F1C">
            <w:r>
              <w:rPr>
                <w:rFonts w:eastAsia="Calibri"/>
              </w:rPr>
              <w:t>What to do?</w:t>
            </w:r>
          </w:p>
        </w:tc>
        <w:tc>
          <w:tcPr>
            <w:tcW w:w="2520" w:type="dxa"/>
            <w:tcBorders>
              <w:top w:val="single" w:sz="6" w:space="0" w:color="000000"/>
              <w:left w:val="single" w:sz="6" w:space="0" w:color="000000"/>
              <w:bottom w:val="single" w:sz="6" w:space="0" w:color="000000"/>
            </w:tcBorders>
            <w:shd w:val="clear" w:color="auto" w:fill="D0CECE" w:themeFill="background2" w:themeFillShade="E6"/>
          </w:tcPr>
          <w:p w14:paraId="1A956D84" w14:textId="77777777" w:rsidR="000407A1" w:rsidRDefault="000407A1" w:rsidP="007F1F1C">
            <w:pPr>
              <w:rPr>
                <w:rFonts w:eastAsia="Calibri"/>
              </w:rPr>
            </w:pPr>
            <w:r>
              <w:rPr>
                <w:rFonts w:eastAsia="Calibri"/>
              </w:rPr>
              <w:t xml:space="preserve">Experience, </w:t>
            </w:r>
          </w:p>
          <w:p w14:paraId="719720CA" w14:textId="77777777" w:rsidR="000407A1" w:rsidRDefault="000407A1" w:rsidP="007F1F1C">
            <w:pPr>
              <w:rPr>
                <w:rFonts w:eastAsia="Calibri"/>
              </w:rPr>
            </w:pPr>
            <w:r>
              <w:rPr>
                <w:rFonts w:eastAsia="Calibri"/>
              </w:rPr>
              <w:t xml:space="preserve">Suggestions, etc. </w:t>
            </w:r>
          </w:p>
        </w:tc>
      </w:tr>
      <w:tr w:rsidR="000407A1" w:rsidRPr="006B4B89" w14:paraId="72812A45" w14:textId="77777777" w:rsidTr="00392F09">
        <w:trPr>
          <w:trHeight w:val="949"/>
        </w:trPr>
        <w:tc>
          <w:tcPr>
            <w:tcW w:w="1799" w:type="dxa"/>
            <w:tcBorders>
              <w:top w:val="single" w:sz="6" w:space="0" w:color="000000"/>
              <w:bottom w:val="single" w:sz="6" w:space="0" w:color="000000"/>
              <w:right w:val="single" w:sz="6" w:space="0" w:color="000000"/>
            </w:tcBorders>
            <w:tcMar>
              <w:top w:w="8" w:type="dxa"/>
              <w:left w:w="108" w:type="dxa"/>
              <w:bottom w:w="8" w:type="dxa"/>
              <w:right w:w="108" w:type="dxa"/>
            </w:tcMar>
            <w:vAlign w:val="center"/>
          </w:tcPr>
          <w:p w14:paraId="06FD0D47" w14:textId="77777777" w:rsidR="000407A1" w:rsidRDefault="000407A1" w:rsidP="007F1F1C">
            <w:pPr>
              <w:rPr>
                <w:rFonts w:eastAsia="Calibri"/>
              </w:rPr>
            </w:pPr>
            <w:r>
              <w:rPr>
                <w:rFonts w:eastAsia="Calibri"/>
              </w:rPr>
              <w:t>Deferral of employer share of FICA</w:t>
            </w:r>
          </w:p>
        </w:tc>
        <w:tc>
          <w:tcPr>
            <w:tcW w:w="306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14:paraId="34F32314" w14:textId="77777777" w:rsidR="000407A1" w:rsidRPr="006B4B89" w:rsidRDefault="000407A1" w:rsidP="007F1F1C">
            <w:pPr>
              <w:rPr>
                <w:rFonts w:eastAsia="Calibri"/>
              </w:rPr>
            </w:pPr>
            <w:r w:rsidRPr="006B4B89">
              <w:rPr>
                <w:rFonts w:eastAsia="Calibri"/>
              </w:rPr>
              <w:t>Employers can defer paying the employer share of FICA taxes from now through 12/31/20.</w:t>
            </w:r>
          </w:p>
        </w:tc>
        <w:tc>
          <w:tcPr>
            <w:tcW w:w="120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14:paraId="6E957846" w14:textId="77777777" w:rsidR="000407A1" w:rsidRPr="006B4B89" w:rsidRDefault="000407A1" w:rsidP="00280B92">
            <w:pPr>
              <w:jc w:val="center"/>
              <w:rPr>
                <w:rFonts w:eastAsia="Calibri"/>
              </w:rPr>
            </w:pPr>
            <w:r w:rsidRPr="006B4B89">
              <w:rPr>
                <w:rFonts w:eastAsia="Calibri"/>
              </w:rPr>
              <w:t>All employers</w:t>
            </w:r>
          </w:p>
        </w:tc>
        <w:tc>
          <w:tcPr>
            <w:tcW w:w="284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14:paraId="7734169A" w14:textId="77777777" w:rsidR="000407A1" w:rsidRPr="006B4B89" w:rsidRDefault="000407A1" w:rsidP="007F1F1C">
            <w:pPr>
              <w:rPr>
                <w:rFonts w:eastAsia="Calibri"/>
              </w:rPr>
            </w:pPr>
            <w:r w:rsidRPr="006B4B89">
              <w:rPr>
                <w:rFonts w:eastAsia="Calibri"/>
              </w:rPr>
              <w:t>All deferred FICA taxes must ultimately be repaid – half by 12/31/</w:t>
            </w:r>
            <w:r>
              <w:rPr>
                <w:rFonts w:eastAsia="Calibri"/>
              </w:rPr>
              <w:t>20</w:t>
            </w:r>
            <w:r w:rsidRPr="006B4B89">
              <w:rPr>
                <w:rFonts w:eastAsia="Calibri"/>
              </w:rPr>
              <w:t>21 and half by 12/31/</w:t>
            </w:r>
            <w:r>
              <w:rPr>
                <w:rFonts w:eastAsia="Calibri"/>
              </w:rPr>
              <w:t>20</w:t>
            </w:r>
            <w:r w:rsidRPr="006B4B89">
              <w:rPr>
                <w:rFonts w:eastAsia="Calibri"/>
              </w:rPr>
              <w:t>22.</w:t>
            </w:r>
          </w:p>
        </w:tc>
        <w:tc>
          <w:tcPr>
            <w:tcW w:w="2070" w:type="dxa"/>
            <w:tcBorders>
              <w:top w:val="single" w:sz="6" w:space="0" w:color="000000"/>
              <w:left w:val="single" w:sz="6" w:space="0" w:color="000000"/>
              <w:bottom w:val="single" w:sz="6" w:space="0" w:color="000000"/>
            </w:tcBorders>
            <w:tcMar>
              <w:top w:w="8" w:type="dxa"/>
              <w:left w:w="108" w:type="dxa"/>
              <w:bottom w:w="8" w:type="dxa"/>
              <w:right w:w="108" w:type="dxa"/>
            </w:tcMar>
            <w:vAlign w:val="center"/>
          </w:tcPr>
          <w:p w14:paraId="245417D8" w14:textId="77777777" w:rsidR="000407A1" w:rsidRPr="006B4B89" w:rsidRDefault="000407A1" w:rsidP="007F1F1C">
            <w:pPr>
              <w:rPr>
                <w:rFonts w:eastAsia="Calibri"/>
                <w:color w:val="000000"/>
                <w:sz w:val="22"/>
                <w:szCs w:val="22"/>
              </w:rPr>
            </w:pPr>
            <w:r w:rsidRPr="006B4B89">
              <w:rPr>
                <w:rFonts w:eastAsia="Calibri"/>
                <w:color w:val="000000"/>
                <w:sz w:val="22"/>
                <w:szCs w:val="22"/>
              </w:rPr>
              <w:t xml:space="preserve">See </w:t>
            </w:r>
            <w:hyperlink r:id="rId42" w:history="1">
              <w:r w:rsidRPr="006B4B89">
                <w:rPr>
                  <w:rStyle w:val="Hyperlink"/>
                  <w:sz w:val="22"/>
                  <w:szCs w:val="22"/>
                </w:rPr>
                <w:t>IRS Notice 2020-22</w:t>
              </w:r>
            </w:hyperlink>
          </w:p>
        </w:tc>
        <w:tc>
          <w:tcPr>
            <w:tcW w:w="2520" w:type="dxa"/>
            <w:tcBorders>
              <w:top w:val="single" w:sz="6" w:space="0" w:color="000000"/>
              <w:left w:val="single" w:sz="6" w:space="0" w:color="000000"/>
              <w:bottom w:val="single" w:sz="6" w:space="0" w:color="000000"/>
            </w:tcBorders>
          </w:tcPr>
          <w:p w14:paraId="492383B9" w14:textId="77777777" w:rsidR="000407A1" w:rsidRDefault="000407A1" w:rsidP="007F1F1C">
            <w:pPr>
              <w:rPr>
                <w:rFonts w:eastAsia="Calibri"/>
              </w:rPr>
            </w:pPr>
          </w:p>
        </w:tc>
      </w:tr>
      <w:tr w:rsidR="000407A1" w:rsidRPr="006B4B89" w14:paraId="361D5DCF" w14:textId="77777777" w:rsidTr="00392F09">
        <w:trPr>
          <w:trHeight w:val="949"/>
        </w:trPr>
        <w:tc>
          <w:tcPr>
            <w:tcW w:w="1799" w:type="dxa"/>
            <w:tcBorders>
              <w:top w:val="single" w:sz="6" w:space="0" w:color="000000"/>
              <w:bottom w:val="single" w:sz="6" w:space="0" w:color="000000"/>
              <w:right w:val="single" w:sz="6" w:space="0" w:color="000000"/>
            </w:tcBorders>
            <w:tcMar>
              <w:top w:w="8" w:type="dxa"/>
              <w:left w:w="108" w:type="dxa"/>
              <w:bottom w:w="8" w:type="dxa"/>
              <w:right w:w="108" w:type="dxa"/>
            </w:tcMar>
            <w:vAlign w:val="center"/>
          </w:tcPr>
          <w:p w14:paraId="603F7FA4" w14:textId="77777777" w:rsidR="000407A1" w:rsidRDefault="000407A1" w:rsidP="007F1F1C">
            <w:pPr>
              <w:rPr>
                <w:rFonts w:eastAsia="Calibri"/>
              </w:rPr>
            </w:pPr>
            <w:r>
              <w:rPr>
                <w:rFonts w:eastAsia="Calibri"/>
              </w:rPr>
              <w:t>Advanced Medicare Payments</w:t>
            </w:r>
          </w:p>
        </w:tc>
        <w:tc>
          <w:tcPr>
            <w:tcW w:w="306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14:paraId="7F10AA0A" w14:textId="77777777" w:rsidR="000407A1" w:rsidRPr="006B4B89" w:rsidRDefault="000407A1" w:rsidP="007F1F1C">
            <w:pPr>
              <w:rPr>
                <w:rFonts w:eastAsia="Calibri"/>
              </w:rPr>
            </w:pPr>
            <w:r w:rsidRPr="006B4B89">
              <w:rPr>
                <w:rFonts w:eastAsia="Calibri"/>
              </w:rPr>
              <w:t>FQHCs can receive up to 3 months’ worth of Medicare payments in advance, within 7 days of applying.</w:t>
            </w:r>
          </w:p>
        </w:tc>
        <w:tc>
          <w:tcPr>
            <w:tcW w:w="120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14:paraId="3D583E50" w14:textId="77777777" w:rsidR="000407A1" w:rsidRPr="006B4B89" w:rsidRDefault="000407A1" w:rsidP="00280B92">
            <w:pPr>
              <w:jc w:val="center"/>
              <w:rPr>
                <w:rFonts w:eastAsia="Calibri"/>
              </w:rPr>
            </w:pPr>
            <w:r w:rsidRPr="006B4B89">
              <w:rPr>
                <w:rFonts w:eastAsia="Calibri"/>
              </w:rPr>
              <w:t>All health centers</w:t>
            </w:r>
          </w:p>
        </w:tc>
        <w:tc>
          <w:tcPr>
            <w:tcW w:w="284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14:paraId="7D5B667D" w14:textId="77777777" w:rsidR="000407A1" w:rsidRPr="006B4B89" w:rsidRDefault="000407A1" w:rsidP="007F1F1C">
            <w:pPr>
              <w:rPr>
                <w:rFonts w:eastAsia="Calibri"/>
              </w:rPr>
            </w:pPr>
            <w:r w:rsidRPr="006B4B89">
              <w:rPr>
                <w:rFonts w:eastAsia="Calibri"/>
              </w:rPr>
              <w:t>Any excess must be repaid within 4 to 7 months. Interest rates</w:t>
            </w:r>
            <w:r>
              <w:rPr>
                <w:rFonts w:eastAsia="Calibri"/>
              </w:rPr>
              <w:t xml:space="preserve"> after 7 months</w:t>
            </w:r>
            <w:r w:rsidRPr="006B4B89">
              <w:rPr>
                <w:rFonts w:eastAsia="Calibri"/>
              </w:rPr>
              <w:t xml:space="preserve"> can be high.</w:t>
            </w:r>
          </w:p>
        </w:tc>
        <w:tc>
          <w:tcPr>
            <w:tcW w:w="2070" w:type="dxa"/>
            <w:tcBorders>
              <w:top w:val="single" w:sz="6" w:space="0" w:color="000000"/>
              <w:left w:val="single" w:sz="6" w:space="0" w:color="000000"/>
              <w:bottom w:val="single" w:sz="6" w:space="0" w:color="000000"/>
            </w:tcBorders>
            <w:tcMar>
              <w:top w:w="8" w:type="dxa"/>
              <w:left w:w="108" w:type="dxa"/>
              <w:bottom w:w="8" w:type="dxa"/>
              <w:right w:w="108" w:type="dxa"/>
            </w:tcMar>
            <w:vAlign w:val="center"/>
          </w:tcPr>
          <w:p w14:paraId="3677CB09" w14:textId="77777777" w:rsidR="000407A1" w:rsidRPr="006B4B89" w:rsidRDefault="000407A1" w:rsidP="007F1F1C">
            <w:pPr>
              <w:rPr>
                <w:rFonts w:eastAsia="Calibri"/>
              </w:rPr>
            </w:pPr>
            <w:r w:rsidRPr="006B4B89">
              <w:rPr>
                <w:rFonts w:eastAsia="Calibri"/>
              </w:rPr>
              <w:t>Contact your MAC</w:t>
            </w:r>
          </w:p>
        </w:tc>
        <w:tc>
          <w:tcPr>
            <w:tcW w:w="2520" w:type="dxa"/>
            <w:tcBorders>
              <w:top w:val="single" w:sz="6" w:space="0" w:color="000000"/>
              <w:left w:val="single" w:sz="6" w:space="0" w:color="000000"/>
              <w:bottom w:val="single" w:sz="6" w:space="0" w:color="000000"/>
            </w:tcBorders>
          </w:tcPr>
          <w:p w14:paraId="2CB4FB67" w14:textId="77777777" w:rsidR="000407A1" w:rsidRPr="006B4B89" w:rsidRDefault="000407A1" w:rsidP="007F1F1C">
            <w:pPr>
              <w:rPr>
                <w:rFonts w:eastAsia="Calibri"/>
              </w:rPr>
            </w:pPr>
            <w:r>
              <w:rPr>
                <w:rFonts w:eastAsia="Calibri"/>
              </w:rPr>
              <w:t>Also called “accelerated payments”.  Medicare disbursed over $</w:t>
            </w:r>
            <w:r w:rsidR="00392F09">
              <w:rPr>
                <w:rFonts w:eastAsia="Calibri"/>
              </w:rPr>
              <w:t>5</w:t>
            </w:r>
            <w:r>
              <w:rPr>
                <w:rFonts w:eastAsia="Calibri"/>
              </w:rPr>
              <w:t>0 billion in advanced payments</w:t>
            </w:r>
            <w:r w:rsidR="00392F09">
              <w:rPr>
                <w:rFonts w:eastAsia="Calibri"/>
              </w:rPr>
              <w:t xml:space="preserve"> by mid-April</w:t>
            </w:r>
            <w:r>
              <w:rPr>
                <w:rFonts w:eastAsia="Calibri"/>
              </w:rPr>
              <w:t>.</w:t>
            </w:r>
          </w:p>
        </w:tc>
      </w:tr>
      <w:tr w:rsidR="000407A1" w:rsidRPr="006B4B89" w14:paraId="08E4374D" w14:textId="77777777" w:rsidTr="00392F09">
        <w:trPr>
          <w:trHeight w:val="1030"/>
        </w:trPr>
        <w:tc>
          <w:tcPr>
            <w:tcW w:w="1799" w:type="dxa"/>
            <w:tcBorders>
              <w:top w:val="single" w:sz="6" w:space="0" w:color="000000"/>
              <w:bottom w:val="single" w:sz="6" w:space="0" w:color="000000"/>
              <w:right w:val="single" w:sz="6" w:space="0" w:color="000000"/>
            </w:tcBorders>
            <w:tcMar>
              <w:top w:w="8" w:type="dxa"/>
              <w:left w:w="108" w:type="dxa"/>
              <w:bottom w:w="8" w:type="dxa"/>
              <w:right w:w="108" w:type="dxa"/>
            </w:tcMar>
            <w:vAlign w:val="center"/>
          </w:tcPr>
          <w:p w14:paraId="1FA49B4D" w14:textId="77777777" w:rsidR="000407A1" w:rsidRDefault="000407A1" w:rsidP="007F1F1C">
            <w:r>
              <w:rPr>
                <w:rFonts w:eastAsia="Calibri"/>
              </w:rPr>
              <w:t>Expanded</w:t>
            </w:r>
          </w:p>
          <w:p w14:paraId="08E6AF4B" w14:textId="77777777" w:rsidR="000407A1" w:rsidRDefault="000407A1" w:rsidP="007F1F1C">
            <w:r>
              <w:rPr>
                <w:rFonts w:eastAsia="Calibri"/>
              </w:rPr>
              <w:t>Unemployment Insurance for Fully and Partly Laid-off Staff</w:t>
            </w:r>
          </w:p>
        </w:tc>
        <w:tc>
          <w:tcPr>
            <w:tcW w:w="306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14:paraId="14DF8D51" w14:textId="77777777" w:rsidR="000407A1" w:rsidRPr="006B4B89" w:rsidRDefault="000407A1" w:rsidP="007F1F1C">
            <w:r w:rsidRPr="006B4B89">
              <w:t xml:space="preserve">Expanded benefits for laid-off staff, including first week paid, additional $600 per week, and 13 additional weeks if needed. States encouraged to create/ expand programs to staff who have been partly or fully furloughed  </w:t>
            </w:r>
          </w:p>
        </w:tc>
        <w:tc>
          <w:tcPr>
            <w:tcW w:w="120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14:paraId="5F3D1153" w14:textId="77777777" w:rsidR="000407A1" w:rsidRPr="006B4B89" w:rsidRDefault="000407A1" w:rsidP="00280B92">
            <w:pPr>
              <w:jc w:val="center"/>
            </w:pPr>
            <w:r w:rsidRPr="006B4B89">
              <w:rPr>
                <w:rFonts w:eastAsia="Calibri"/>
              </w:rPr>
              <w:t>All employees and contractors. May be additional state flexibilities.</w:t>
            </w:r>
          </w:p>
        </w:tc>
        <w:tc>
          <w:tcPr>
            <w:tcW w:w="284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14:paraId="44CE8022" w14:textId="77777777" w:rsidR="000407A1" w:rsidRPr="006B4B89" w:rsidRDefault="000407A1" w:rsidP="007F1F1C">
            <w:r w:rsidRPr="006B4B89">
              <w:rPr>
                <w:rFonts w:eastAsia="Calibri"/>
              </w:rPr>
              <w:t xml:space="preserve">Details vary significantly by state. CHCs that self-insure for UI will be reimbursed for half their costs; CHCs that pay state UI taxes </w:t>
            </w:r>
            <w:r w:rsidRPr="006B4B89">
              <w:rPr>
                <w:rFonts w:eastAsia="Calibri"/>
                <w:u w:val="single"/>
              </w:rPr>
              <w:t>may not</w:t>
            </w:r>
            <w:r w:rsidRPr="006B4B89">
              <w:rPr>
                <w:rFonts w:eastAsia="Calibri"/>
              </w:rPr>
              <w:t xml:space="preserve"> have their taxes increase due to employees receiving COVID-19-related UI.  </w:t>
            </w:r>
          </w:p>
        </w:tc>
        <w:tc>
          <w:tcPr>
            <w:tcW w:w="2070" w:type="dxa"/>
            <w:tcBorders>
              <w:top w:val="single" w:sz="6" w:space="0" w:color="000000"/>
              <w:left w:val="single" w:sz="6" w:space="0" w:color="000000"/>
              <w:bottom w:val="single" w:sz="6" w:space="0" w:color="000000"/>
            </w:tcBorders>
            <w:tcMar>
              <w:top w:w="8" w:type="dxa"/>
              <w:left w:w="108" w:type="dxa"/>
              <w:bottom w:w="8" w:type="dxa"/>
              <w:right w:w="108" w:type="dxa"/>
            </w:tcMar>
            <w:vAlign w:val="center"/>
          </w:tcPr>
          <w:p w14:paraId="4116702B" w14:textId="77777777" w:rsidR="000407A1" w:rsidRPr="006B4B89" w:rsidRDefault="000407A1" w:rsidP="007F1F1C">
            <w:pPr>
              <w:rPr>
                <w:color w:val="000000"/>
                <w:sz w:val="22"/>
                <w:szCs w:val="22"/>
              </w:rPr>
            </w:pPr>
            <w:r w:rsidRPr="006B4B89">
              <w:rPr>
                <w:rFonts w:eastAsia="Calibri"/>
                <w:color w:val="000000"/>
                <w:sz w:val="22"/>
                <w:szCs w:val="22"/>
              </w:rPr>
              <w:t xml:space="preserve">Contact your state </w:t>
            </w:r>
            <w:hyperlink r:id="rId43" w:history="1">
              <w:r w:rsidRPr="006B4B89">
                <w:rPr>
                  <w:rFonts w:eastAsia="Calibri"/>
                  <w:color w:val="0563C1"/>
                  <w:sz w:val="22"/>
                  <w:szCs w:val="22"/>
                  <w:u w:val="single" w:color="0563C1"/>
                </w:rPr>
                <w:t>unemployment office</w:t>
              </w:r>
            </w:hyperlink>
            <w:r w:rsidRPr="006B4B89">
              <w:rPr>
                <w:rFonts w:eastAsia="Calibri"/>
                <w:color w:val="000000"/>
                <w:sz w:val="22"/>
                <w:szCs w:val="22"/>
              </w:rPr>
              <w:t xml:space="preserve">. </w:t>
            </w:r>
          </w:p>
        </w:tc>
        <w:tc>
          <w:tcPr>
            <w:tcW w:w="2520" w:type="dxa"/>
            <w:tcBorders>
              <w:top w:val="single" w:sz="6" w:space="0" w:color="000000"/>
              <w:left w:val="single" w:sz="6" w:space="0" w:color="000000"/>
              <w:bottom w:val="single" w:sz="6" w:space="0" w:color="000000"/>
            </w:tcBorders>
          </w:tcPr>
          <w:p w14:paraId="14D9F6F8" w14:textId="77777777" w:rsidR="000407A1" w:rsidRPr="006B4B89" w:rsidRDefault="000407A1" w:rsidP="007F1F1C">
            <w:pPr>
              <w:rPr>
                <w:rFonts w:eastAsia="Calibri"/>
              </w:rPr>
            </w:pPr>
          </w:p>
        </w:tc>
      </w:tr>
      <w:tr w:rsidR="000407A1" w:rsidRPr="006B4B89" w14:paraId="3BE59E26" w14:textId="77777777" w:rsidTr="00392F09">
        <w:trPr>
          <w:trHeight w:val="1030"/>
        </w:trPr>
        <w:tc>
          <w:tcPr>
            <w:tcW w:w="1799" w:type="dxa"/>
            <w:tcBorders>
              <w:top w:val="single" w:sz="6" w:space="0" w:color="000000"/>
              <w:bottom w:val="single" w:sz="6" w:space="0" w:color="000000"/>
              <w:right w:val="single" w:sz="6" w:space="0" w:color="000000"/>
            </w:tcBorders>
            <w:tcMar>
              <w:top w:w="8" w:type="dxa"/>
              <w:left w:w="108" w:type="dxa"/>
              <w:bottom w:w="8" w:type="dxa"/>
              <w:right w:w="108" w:type="dxa"/>
            </w:tcMar>
            <w:vAlign w:val="center"/>
          </w:tcPr>
          <w:p w14:paraId="362A4915" w14:textId="77777777" w:rsidR="000407A1" w:rsidRDefault="000407A1" w:rsidP="007F1F1C">
            <w:pPr>
              <w:rPr>
                <w:rFonts w:eastAsia="Calibri"/>
              </w:rPr>
            </w:pPr>
            <w:r>
              <w:rPr>
                <w:rFonts w:eastAsia="Calibri"/>
              </w:rPr>
              <w:t>FEMA Public Assistance Grants</w:t>
            </w:r>
          </w:p>
        </w:tc>
        <w:tc>
          <w:tcPr>
            <w:tcW w:w="306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14:paraId="0F4288BE" w14:textId="77777777" w:rsidR="000407A1" w:rsidRPr="005E2F29" w:rsidRDefault="000407A1" w:rsidP="007F1F1C">
            <w:r w:rsidRPr="005E2F29">
              <w:t>75% reimbursement for “eligible emergency protective measures taken to respond to the COVID-19 emergency at the direction or guidance of public health officials”</w:t>
            </w:r>
          </w:p>
          <w:p w14:paraId="068499E6" w14:textId="77777777" w:rsidR="000407A1" w:rsidRPr="006B4B89" w:rsidRDefault="000407A1" w:rsidP="007F1F1C"/>
        </w:tc>
        <w:tc>
          <w:tcPr>
            <w:tcW w:w="120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14:paraId="2810BADD" w14:textId="77777777" w:rsidR="000407A1" w:rsidRPr="00435C0E" w:rsidRDefault="000407A1" w:rsidP="00280B92">
            <w:pPr>
              <w:jc w:val="center"/>
              <w:rPr>
                <w:rFonts w:eastAsia="Calibri"/>
              </w:rPr>
            </w:pPr>
            <w:r w:rsidRPr="00435C0E">
              <w:rPr>
                <w:rFonts w:eastAsia="Calibri"/>
              </w:rPr>
              <w:t>All health centers</w:t>
            </w:r>
          </w:p>
        </w:tc>
        <w:tc>
          <w:tcPr>
            <w:tcW w:w="284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14:paraId="24DD6D81" w14:textId="77777777" w:rsidR="000407A1" w:rsidRPr="006B4B89" w:rsidRDefault="000407A1" w:rsidP="007F1F1C">
            <w:pPr>
              <w:rPr>
                <w:rFonts w:eastAsia="Calibri"/>
              </w:rPr>
            </w:pPr>
            <w:r>
              <w:rPr>
                <w:rFonts w:eastAsia="Calibri"/>
              </w:rPr>
              <w:t>Federal government will pay 75% of total costs.</w:t>
            </w:r>
          </w:p>
        </w:tc>
        <w:tc>
          <w:tcPr>
            <w:tcW w:w="2070" w:type="dxa"/>
            <w:tcBorders>
              <w:top w:val="single" w:sz="6" w:space="0" w:color="000000"/>
              <w:left w:val="single" w:sz="6" w:space="0" w:color="000000"/>
              <w:bottom w:val="single" w:sz="6" w:space="0" w:color="000000"/>
            </w:tcBorders>
            <w:tcMar>
              <w:top w:w="8" w:type="dxa"/>
              <w:left w:w="108" w:type="dxa"/>
              <w:bottom w:w="8" w:type="dxa"/>
              <w:right w:w="108" w:type="dxa"/>
            </w:tcMar>
            <w:vAlign w:val="center"/>
          </w:tcPr>
          <w:p w14:paraId="5DBEB0B3" w14:textId="77777777" w:rsidR="000407A1" w:rsidRPr="006B4B89" w:rsidRDefault="000407A1" w:rsidP="007F1F1C">
            <w:pPr>
              <w:rPr>
                <w:rFonts w:eastAsia="Calibri"/>
              </w:rPr>
            </w:pPr>
            <w:r>
              <w:rPr>
                <w:rFonts w:eastAsia="Calibri"/>
              </w:rPr>
              <w:t>Must apply through your state or territorial government.</w:t>
            </w:r>
          </w:p>
        </w:tc>
        <w:tc>
          <w:tcPr>
            <w:tcW w:w="2520" w:type="dxa"/>
            <w:tcBorders>
              <w:top w:val="single" w:sz="6" w:space="0" w:color="000000"/>
              <w:left w:val="single" w:sz="6" w:space="0" w:color="000000"/>
              <w:bottom w:val="single" w:sz="6" w:space="0" w:color="000000"/>
            </w:tcBorders>
          </w:tcPr>
          <w:p w14:paraId="778D9DC3" w14:textId="77777777" w:rsidR="000407A1" w:rsidRPr="00435C0E" w:rsidRDefault="000407A1" w:rsidP="007F1F1C">
            <w:pPr>
              <w:rPr>
                <w:rStyle w:val="Hyperlink"/>
                <w:sz w:val="22"/>
                <w:szCs w:val="22"/>
                <w:u w:val="none"/>
              </w:rPr>
            </w:pPr>
            <w:r w:rsidRPr="00435C0E">
              <w:rPr>
                <w:rFonts w:eastAsia="Calibri"/>
                <w:color w:val="000000"/>
              </w:rPr>
              <w:t xml:space="preserve">FEMA does not make Public Assistance grants directly to health centers. See </w:t>
            </w:r>
            <w:hyperlink r:id="rId44" w:history="1">
              <w:r w:rsidRPr="00435C0E">
                <w:rPr>
                  <w:rStyle w:val="Hyperlink"/>
                  <w:sz w:val="22"/>
                  <w:szCs w:val="22"/>
                </w:rPr>
                <w:t>FEMA Fact Sheet</w:t>
              </w:r>
            </w:hyperlink>
            <w:r w:rsidRPr="00435C0E">
              <w:rPr>
                <w:rStyle w:val="Hyperlink"/>
                <w:sz w:val="22"/>
                <w:szCs w:val="22"/>
                <w:u w:val="none"/>
              </w:rPr>
              <w:t xml:space="preserve"> </w:t>
            </w:r>
            <w:r w:rsidRPr="00435C0E">
              <w:rPr>
                <w:rFonts w:eastAsia="Calibri"/>
                <w:color w:val="000000"/>
              </w:rPr>
              <w:t>and</w:t>
            </w:r>
          </w:p>
          <w:p w14:paraId="0EEA40C6" w14:textId="77777777" w:rsidR="000407A1" w:rsidRPr="00435C0E" w:rsidRDefault="00853E31" w:rsidP="007F1F1C">
            <w:hyperlink r:id="rId45" w:history="1">
              <w:r w:rsidR="000407A1" w:rsidRPr="00435C0E">
                <w:rPr>
                  <w:rStyle w:val="Hyperlink"/>
                  <w:sz w:val="22"/>
                  <w:szCs w:val="22"/>
                </w:rPr>
                <w:t>detailed FEMA guide</w:t>
              </w:r>
            </w:hyperlink>
          </w:p>
          <w:p w14:paraId="4BC39404" w14:textId="77777777" w:rsidR="000407A1" w:rsidRPr="00435C0E" w:rsidRDefault="000407A1" w:rsidP="007F1F1C">
            <w:pPr>
              <w:rPr>
                <w:rFonts w:eastAsia="Calibri"/>
              </w:rPr>
            </w:pPr>
          </w:p>
          <w:p w14:paraId="29123E1D" w14:textId="77777777" w:rsidR="000407A1" w:rsidRPr="00435C0E" w:rsidRDefault="000407A1" w:rsidP="007F1F1C">
            <w:pPr>
              <w:rPr>
                <w:rFonts w:eastAsia="Calibri"/>
              </w:rPr>
            </w:pPr>
          </w:p>
        </w:tc>
      </w:tr>
    </w:tbl>
    <w:p w14:paraId="72F0F9CF" w14:textId="77777777" w:rsidR="0045094D" w:rsidRPr="00392F09" w:rsidRDefault="00FD2B93" w:rsidP="00392F09">
      <w:pPr>
        <w:jc w:val="center"/>
        <w:rPr>
          <w:b/>
          <w:bCs/>
          <w:sz w:val="32"/>
          <w:szCs w:val="32"/>
        </w:rPr>
      </w:pPr>
      <w:r>
        <w:br w:type="page"/>
      </w:r>
      <w:bookmarkStart w:id="44" w:name="_Toc37850337"/>
      <w:bookmarkEnd w:id="31"/>
      <w:r w:rsidR="0045094D" w:rsidRPr="00392F09">
        <w:rPr>
          <w:b/>
          <w:bCs/>
          <w:sz w:val="32"/>
          <w:szCs w:val="32"/>
        </w:rPr>
        <w:lastRenderedPageBreak/>
        <w:t>Main Street Loans</w:t>
      </w:r>
      <w:bookmarkEnd w:id="44"/>
    </w:p>
    <w:p w14:paraId="21AC6A85" w14:textId="77777777" w:rsidR="0045094D" w:rsidRPr="00392F09" w:rsidRDefault="0045094D" w:rsidP="00392F09">
      <w:pPr>
        <w:jc w:val="center"/>
        <w:rPr>
          <w:b/>
          <w:bCs/>
          <w:i/>
          <w:iCs/>
          <w:sz w:val="32"/>
          <w:szCs w:val="32"/>
        </w:rPr>
      </w:pPr>
      <w:r w:rsidRPr="00392F09">
        <w:rPr>
          <w:b/>
          <w:bCs/>
          <w:i/>
          <w:iCs/>
          <w:sz w:val="32"/>
          <w:szCs w:val="32"/>
        </w:rPr>
        <w:t>Also know</w:t>
      </w:r>
      <w:r w:rsidR="00B466E4" w:rsidRPr="00392F09">
        <w:rPr>
          <w:b/>
          <w:bCs/>
          <w:i/>
          <w:iCs/>
          <w:sz w:val="32"/>
          <w:szCs w:val="32"/>
        </w:rPr>
        <w:t>n</w:t>
      </w:r>
      <w:r w:rsidRPr="00392F09">
        <w:rPr>
          <w:b/>
          <w:bCs/>
          <w:i/>
          <w:iCs/>
          <w:sz w:val="32"/>
          <w:szCs w:val="32"/>
        </w:rPr>
        <w:t xml:space="preserve"> as </w:t>
      </w:r>
      <w:r w:rsidR="00392F09">
        <w:rPr>
          <w:b/>
          <w:bCs/>
          <w:i/>
          <w:iCs/>
          <w:sz w:val="32"/>
          <w:szCs w:val="32"/>
        </w:rPr>
        <w:t>“</w:t>
      </w:r>
      <w:r w:rsidRPr="00392F09">
        <w:rPr>
          <w:b/>
          <w:bCs/>
          <w:i/>
          <w:iCs/>
          <w:sz w:val="32"/>
          <w:szCs w:val="32"/>
        </w:rPr>
        <w:t>Mid-Size Business Emergency Loans</w:t>
      </w:r>
      <w:r w:rsidR="00392F09">
        <w:rPr>
          <w:b/>
          <w:bCs/>
          <w:i/>
          <w:iCs/>
          <w:sz w:val="32"/>
          <w:szCs w:val="32"/>
        </w:rPr>
        <w:t>”</w:t>
      </w:r>
    </w:p>
    <w:p w14:paraId="6E7F2E94" w14:textId="77777777" w:rsidR="0045094D" w:rsidRDefault="0045094D" w:rsidP="007F1F1C"/>
    <w:p w14:paraId="202AE1CC" w14:textId="77777777" w:rsidR="0045094D" w:rsidRDefault="0045094D" w:rsidP="007F1F1C"/>
    <w:p w14:paraId="282516AB" w14:textId="77777777" w:rsidR="0045094D" w:rsidRPr="00392F09" w:rsidRDefault="0045094D" w:rsidP="007F1F1C">
      <w:pPr>
        <w:rPr>
          <w:b/>
          <w:bCs/>
          <w:i/>
          <w:iCs/>
          <w:color w:val="333333"/>
        </w:rPr>
      </w:pPr>
      <w:r w:rsidRPr="00392F09">
        <w:t xml:space="preserve">Section 4003(c)(3)(D) of the CARES Act says that the Treasury and Federal Reserve shall “endeavor to seek” to implement a loan program for mid-sized businesses, including nonprofit organizations, that have between 500 and 10,000 employees (the Mid-Sized Business Emergency Loan Program).  The law provided at least $454 billion for this and related purposes.  On April 9, the </w:t>
      </w:r>
      <w:hyperlink r:id="rId46" w:history="1">
        <w:r w:rsidRPr="00392F09">
          <w:rPr>
            <w:rStyle w:val="Hyperlink"/>
          </w:rPr>
          <w:t>Federal Reserve announced</w:t>
        </w:r>
      </w:hyperlink>
      <w:r w:rsidRPr="00392F09">
        <w:t xml:space="preserve"> some preliminary information about these loans, and also solicited public input through April 16.  </w:t>
      </w:r>
      <w:r w:rsidRPr="00392F09">
        <w:rPr>
          <w:b/>
          <w:bCs/>
          <w:i/>
          <w:iCs/>
        </w:rPr>
        <w:t xml:space="preserve">As of April 14, 2020, this program has not yet been launched, and many important details have not yet been determined.  </w:t>
      </w:r>
    </w:p>
    <w:p w14:paraId="31E36382" w14:textId="77777777" w:rsidR="0045094D" w:rsidRPr="00392F09" w:rsidRDefault="0045094D" w:rsidP="007F1F1C">
      <w:pPr>
        <w:rPr>
          <w:shd w:val="clear" w:color="auto" w:fill="FFFFFF"/>
        </w:rPr>
      </w:pPr>
    </w:p>
    <w:p w14:paraId="7B6D2D57" w14:textId="77777777" w:rsidR="0045094D" w:rsidRPr="00392F09" w:rsidRDefault="0045094D" w:rsidP="007F1F1C">
      <w:pPr>
        <w:rPr>
          <w:rFonts w:eastAsia="Calibri"/>
          <w:b/>
          <w:bCs/>
        </w:rPr>
      </w:pPr>
      <w:r w:rsidRPr="00392F09">
        <w:rPr>
          <w:i/>
          <w:iCs/>
          <w:u w:val="single"/>
        </w:rPr>
        <w:t>Who can apply?</w:t>
      </w:r>
      <w:r w:rsidRPr="00392F09">
        <w:t xml:space="preserve">  Any organization with fewer than 10,000 employees or revenues under $2.5 billion.  Even organizations that have received Paycheck Protection Loans can apply for Main Street Loans.</w:t>
      </w:r>
    </w:p>
    <w:p w14:paraId="26716EE0" w14:textId="77777777" w:rsidR="0045094D" w:rsidRPr="00392F09" w:rsidRDefault="0045094D" w:rsidP="007F1F1C">
      <w:pPr>
        <w:rPr>
          <w:shd w:val="clear" w:color="auto" w:fill="FFFFFF"/>
        </w:rPr>
      </w:pPr>
    </w:p>
    <w:p w14:paraId="68B73C0C" w14:textId="77777777" w:rsidR="0045094D" w:rsidRPr="00392F09" w:rsidRDefault="0045094D" w:rsidP="007F1F1C">
      <w:r w:rsidRPr="00392F09">
        <w:rPr>
          <w:color w:val="000000"/>
          <w:shd w:val="clear" w:color="auto" w:fill="FFFFFF"/>
        </w:rPr>
        <w:t xml:space="preserve">What are the </w:t>
      </w:r>
      <w:hyperlink r:id="rId47" w:history="1">
        <w:r w:rsidRPr="00392F09">
          <w:rPr>
            <w:rStyle w:val="Hyperlink"/>
            <w:i/>
            <w:iCs/>
          </w:rPr>
          <w:t>terms for new Main Street loans</w:t>
        </w:r>
      </w:hyperlink>
      <w:r w:rsidRPr="00392F09">
        <w:t>?</w:t>
      </w:r>
    </w:p>
    <w:p w14:paraId="58878CCC" w14:textId="77777777" w:rsidR="0045094D" w:rsidRPr="00392F09" w:rsidRDefault="0045094D" w:rsidP="007F1F1C">
      <w:pPr>
        <w:pStyle w:val="ListParagraph"/>
        <w:numPr>
          <w:ilvl w:val="0"/>
          <w:numId w:val="26"/>
        </w:numPr>
        <w:rPr>
          <w:rFonts w:cstheme="minorHAnsi"/>
          <w:i/>
          <w:iCs/>
          <w:sz w:val="24"/>
          <w:szCs w:val="24"/>
          <w:u w:val="single"/>
        </w:rPr>
      </w:pPr>
      <w:r w:rsidRPr="00392F09">
        <w:rPr>
          <w:rFonts w:cstheme="minorHAnsi"/>
          <w:i/>
          <w:iCs/>
          <w:sz w:val="24"/>
          <w:szCs w:val="24"/>
          <w:u w:val="single"/>
        </w:rPr>
        <w:t>Amount:</w:t>
      </w:r>
      <w:r w:rsidRPr="00392F09">
        <w:rPr>
          <w:rFonts w:cstheme="minorHAnsi"/>
          <w:sz w:val="24"/>
          <w:szCs w:val="24"/>
        </w:rPr>
        <w:t xml:space="preserve">  New loans can be between $1 million and $25 million</w:t>
      </w:r>
    </w:p>
    <w:p w14:paraId="63315249" w14:textId="77777777" w:rsidR="0045094D" w:rsidRPr="00392F09" w:rsidRDefault="0045094D" w:rsidP="007F1F1C">
      <w:pPr>
        <w:pStyle w:val="ListParagraph"/>
        <w:numPr>
          <w:ilvl w:val="0"/>
          <w:numId w:val="26"/>
        </w:numPr>
        <w:rPr>
          <w:rFonts w:cstheme="minorHAnsi"/>
          <w:i/>
          <w:iCs/>
          <w:sz w:val="24"/>
          <w:szCs w:val="24"/>
          <w:u w:val="single"/>
        </w:rPr>
      </w:pPr>
      <w:r w:rsidRPr="00392F09">
        <w:rPr>
          <w:rFonts w:cstheme="minorHAnsi"/>
          <w:i/>
          <w:iCs/>
          <w:sz w:val="24"/>
          <w:szCs w:val="24"/>
          <w:u w:val="single"/>
          <w:shd w:val="clear" w:color="auto" w:fill="FFFFFF"/>
        </w:rPr>
        <w:t>Interest rate:</w:t>
      </w:r>
      <w:r w:rsidRPr="00392F09">
        <w:rPr>
          <w:rFonts w:cstheme="minorHAnsi"/>
          <w:sz w:val="24"/>
          <w:szCs w:val="24"/>
          <w:shd w:val="clear" w:color="auto" w:fill="FFFFFF"/>
        </w:rPr>
        <w:t xml:space="preserve">  The statute sets a maximum interest rate of 2%, and authorizes the Treasury and Federal Reserve to set lower rates,  On April 9, the Fed announced that these loans would have an “a</w:t>
      </w:r>
      <w:r w:rsidRPr="00392F09">
        <w:rPr>
          <w:rFonts w:cstheme="minorHAnsi"/>
          <w:sz w:val="24"/>
          <w:szCs w:val="24"/>
        </w:rPr>
        <w:t>djustable rate of SOFR + 250-400 basis points</w:t>
      </w:r>
      <w:r w:rsidRPr="00392F09">
        <w:rPr>
          <w:rFonts w:cstheme="minorHAnsi"/>
          <w:sz w:val="24"/>
          <w:szCs w:val="24"/>
          <w:shd w:val="clear" w:color="auto" w:fill="FFFFFF"/>
        </w:rPr>
        <w:t>”</w:t>
      </w:r>
    </w:p>
    <w:p w14:paraId="762EB519" w14:textId="77777777" w:rsidR="0045094D" w:rsidRPr="00392F09" w:rsidRDefault="0045094D" w:rsidP="007F1F1C">
      <w:pPr>
        <w:pStyle w:val="ListParagraph"/>
        <w:numPr>
          <w:ilvl w:val="0"/>
          <w:numId w:val="26"/>
        </w:numPr>
        <w:rPr>
          <w:rFonts w:cstheme="minorHAnsi"/>
          <w:i/>
          <w:iCs/>
          <w:sz w:val="24"/>
          <w:szCs w:val="24"/>
          <w:u w:val="single"/>
        </w:rPr>
      </w:pPr>
      <w:r w:rsidRPr="00392F09">
        <w:rPr>
          <w:rFonts w:cstheme="minorHAnsi"/>
          <w:i/>
          <w:iCs/>
          <w:sz w:val="24"/>
          <w:szCs w:val="24"/>
          <w:u w:val="single"/>
          <w:shd w:val="clear" w:color="auto" w:fill="FFFFFF"/>
        </w:rPr>
        <w:t>Deferment period:</w:t>
      </w:r>
      <w:r w:rsidRPr="00392F09">
        <w:rPr>
          <w:rFonts w:cstheme="minorHAnsi"/>
          <w:sz w:val="24"/>
          <w:szCs w:val="24"/>
          <w:shd w:val="clear" w:color="auto" w:fill="FFFFFF"/>
        </w:rPr>
        <w:t xml:space="preserve">  On April 9, the Federal reserve announced that principal and interest payments will be deferred for one year.</w:t>
      </w:r>
    </w:p>
    <w:p w14:paraId="78E68693" w14:textId="77777777" w:rsidR="0045094D" w:rsidRPr="00392F09" w:rsidRDefault="0045094D" w:rsidP="007F1F1C">
      <w:pPr>
        <w:pStyle w:val="ListParagraph"/>
        <w:numPr>
          <w:ilvl w:val="0"/>
          <w:numId w:val="26"/>
        </w:numPr>
        <w:rPr>
          <w:rFonts w:cstheme="minorHAnsi"/>
          <w:i/>
          <w:iCs/>
          <w:sz w:val="24"/>
          <w:szCs w:val="24"/>
          <w:u w:val="single"/>
        </w:rPr>
      </w:pPr>
      <w:r w:rsidRPr="00392F09">
        <w:rPr>
          <w:rFonts w:cstheme="minorHAnsi"/>
          <w:i/>
          <w:iCs/>
          <w:sz w:val="24"/>
          <w:szCs w:val="24"/>
          <w:u w:val="single"/>
          <w:shd w:val="clear" w:color="auto" w:fill="FFFFFF"/>
        </w:rPr>
        <w:t>Maturity:</w:t>
      </w:r>
      <w:r w:rsidRPr="00392F09">
        <w:rPr>
          <w:rFonts w:cstheme="minorHAnsi"/>
          <w:sz w:val="24"/>
          <w:szCs w:val="24"/>
          <w:shd w:val="clear" w:color="auto" w:fill="FFFFFF"/>
        </w:rPr>
        <w:t xml:space="preserve">  The loans will have a four-year maturity</w:t>
      </w:r>
    </w:p>
    <w:p w14:paraId="3EC5B767" w14:textId="77777777" w:rsidR="0045094D" w:rsidRPr="00392F09" w:rsidRDefault="0045094D" w:rsidP="007F1F1C">
      <w:r w:rsidRPr="00392F09">
        <w:rPr>
          <w:i/>
          <w:iCs/>
          <w:u w:val="single"/>
          <w:shd w:val="clear" w:color="auto" w:fill="FFFFFF"/>
        </w:rPr>
        <w:t>Can we expand an existing loan into a Main Street Loan?</w:t>
      </w:r>
      <w:r w:rsidRPr="00392F09">
        <w:rPr>
          <w:shd w:val="clear" w:color="auto" w:fill="FFFFFF"/>
        </w:rPr>
        <w:t xml:space="preserve">  Yes.  However, the </w:t>
      </w:r>
      <w:hyperlink r:id="rId48" w:history="1">
        <w:r w:rsidRPr="00392F09">
          <w:rPr>
            <w:rStyle w:val="Hyperlink"/>
          </w:rPr>
          <w:t>terms for expanded loans</w:t>
        </w:r>
      </w:hyperlink>
      <w:r w:rsidRPr="00392F09">
        <w:t xml:space="preserve"> </w:t>
      </w:r>
      <w:r w:rsidRPr="00392F09">
        <w:rPr>
          <w:shd w:val="clear" w:color="auto" w:fill="FFFFFF"/>
        </w:rPr>
        <w:t xml:space="preserve">will differ slightly from those for new loans.  </w:t>
      </w:r>
    </w:p>
    <w:p w14:paraId="4219C9F4" w14:textId="77777777" w:rsidR="0045094D" w:rsidRPr="00392F09" w:rsidRDefault="0045094D" w:rsidP="00ED0170">
      <w:pPr>
        <w:rPr>
          <w:i/>
          <w:iCs/>
          <w:u w:val="single"/>
        </w:rPr>
      </w:pPr>
      <w:r w:rsidRPr="00392F09">
        <w:rPr>
          <w:shd w:val="clear" w:color="auto" w:fill="FFFFFF"/>
        </w:rPr>
        <w:t xml:space="preserve">  </w:t>
      </w:r>
    </w:p>
    <w:p w14:paraId="72655FD1" w14:textId="77777777" w:rsidR="0045094D" w:rsidRPr="00392F09" w:rsidRDefault="0045094D" w:rsidP="00ED0170">
      <w:pPr>
        <w:rPr>
          <w:i/>
          <w:iCs/>
        </w:rPr>
      </w:pPr>
      <w:r w:rsidRPr="00392F09">
        <w:rPr>
          <w:i/>
          <w:iCs/>
          <w:u w:val="single"/>
        </w:rPr>
        <w:t>What are the requirements?</w:t>
      </w:r>
      <w:r w:rsidRPr="00392F09">
        <w:t xml:space="preserve">  Per the CARES statute, borrowers must agree to the following:</w:t>
      </w:r>
    </w:p>
    <w:p w14:paraId="3619CE63" w14:textId="77777777" w:rsidR="0045094D" w:rsidRPr="00392F09" w:rsidRDefault="0045094D" w:rsidP="00ED0170">
      <w:pPr>
        <w:pStyle w:val="ListParagraph"/>
        <w:numPr>
          <w:ilvl w:val="1"/>
          <w:numId w:val="28"/>
        </w:numPr>
        <w:spacing w:line="240" w:lineRule="auto"/>
        <w:rPr>
          <w:rFonts w:eastAsia="Calibri" w:cstheme="minorHAnsi"/>
          <w:b/>
          <w:bCs/>
          <w:sz w:val="24"/>
          <w:szCs w:val="24"/>
        </w:rPr>
      </w:pPr>
      <w:r w:rsidRPr="00392F09">
        <w:rPr>
          <w:rFonts w:cstheme="minorHAnsi"/>
          <w:sz w:val="24"/>
          <w:szCs w:val="24"/>
        </w:rPr>
        <w:t>They will retain at least 90% of the workforce they had on staff at the time of application, at full salary and benefits, through at least September 30, 2020.</w:t>
      </w:r>
    </w:p>
    <w:p w14:paraId="170F7061" w14:textId="77777777" w:rsidR="0045094D" w:rsidRPr="00392F09" w:rsidRDefault="0045094D" w:rsidP="00ED0170">
      <w:pPr>
        <w:pStyle w:val="ListParagraph"/>
        <w:numPr>
          <w:ilvl w:val="1"/>
          <w:numId w:val="28"/>
        </w:numPr>
        <w:spacing w:line="240" w:lineRule="auto"/>
        <w:rPr>
          <w:rFonts w:cstheme="minorHAnsi"/>
          <w:sz w:val="24"/>
          <w:szCs w:val="24"/>
        </w:rPr>
      </w:pPr>
      <w:r w:rsidRPr="00392F09">
        <w:rPr>
          <w:rFonts w:cstheme="minorHAnsi"/>
          <w:sz w:val="24"/>
          <w:szCs w:val="24"/>
        </w:rPr>
        <w:t>Not later than 4 months after the end of the public health emergency, they will restore at least 90% percent of their workforce that existed as of February 1, 2020, at the levels of compensation and benefits that existed on that date.</w:t>
      </w:r>
    </w:p>
    <w:p w14:paraId="4656E67F" w14:textId="77777777" w:rsidR="0045094D" w:rsidRPr="00392F09" w:rsidRDefault="0045094D" w:rsidP="00ED0170">
      <w:pPr>
        <w:pStyle w:val="ListParagraph"/>
        <w:numPr>
          <w:ilvl w:val="1"/>
          <w:numId w:val="28"/>
        </w:numPr>
        <w:spacing w:line="240" w:lineRule="auto"/>
        <w:rPr>
          <w:rFonts w:cstheme="minorHAnsi"/>
          <w:sz w:val="24"/>
          <w:szCs w:val="24"/>
        </w:rPr>
      </w:pPr>
      <w:r w:rsidRPr="00392F09">
        <w:rPr>
          <w:rFonts w:cstheme="minorHAnsi"/>
          <w:sz w:val="24"/>
          <w:szCs w:val="24"/>
        </w:rPr>
        <w:t xml:space="preserve">They will not outsource any jobs for the term of the loan and 2 years after completing repayment of the loan. </w:t>
      </w:r>
    </w:p>
    <w:p w14:paraId="0ED564E4" w14:textId="77777777" w:rsidR="0045094D" w:rsidRPr="00392F09" w:rsidRDefault="0045094D" w:rsidP="00ED0170"/>
    <w:p w14:paraId="2B8C2EA2" w14:textId="77777777" w:rsidR="005E2699" w:rsidRDefault="005E2699" w:rsidP="007F1F1C"/>
    <w:p w14:paraId="3BE5D258" w14:textId="77777777" w:rsidR="0045094D" w:rsidRPr="00392F09" w:rsidRDefault="0045094D" w:rsidP="007F1F1C">
      <w:r w:rsidRPr="00392F09">
        <w:lastRenderedPageBreak/>
        <w:t>Regarding these statutory requirements, note that:</w:t>
      </w:r>
    </w:p>
    <w:p w14:paraId="7AC35D78" w14:textId="77777777" w:rsidR="0045094D" w:rsidRPr="00392F09" w:rsidRDefault="0045094D" w:rsidP="007F1F1C">
      <w:pPr>
        <w:pStyle w:val="ListParagraph"/>
        <w:numPr>
          <w:ilvl w:val="0"/>
          <w:numId w:val="29"/>
        </w:numPr>
        <w:rPr>
          <w:rFonts w:cstheme="minorHAnsi"/>
          <w:sz w:val="24"/>
          <w:szCs w:val="24"/>
        </w:rPr>
      </w:pPr>
      <w:r w:rsidRPr="00392F09">
        <w:rPr>
          <w:rFonts w:cstheme="minorHAnsi"/>
          <w:sz w:val="24"/>
          <w:szCs w:val="24"/>
        </w:rPr>
        <w:t xml:space="preserve">The Federal Reserve has substantial discretion in how to interpret them, and </w:t>
      </w:r>
    </w:p>
    <w:p w14:paraId="33E5CD30" w14:textId="77777777" w:rsidR="0045094D" w:rsidRPr="00392F09" w:rsidRDefault="0045094D" w:rsidP="007F1F1C">
      <w:pPr>
        <w:pStyle w:val="ListParagraph"/>
        <w:numPr>
          <w:ilvl w:val="0"/>
          <w:numId w:val="29"/>
        </w:numPr>
        <w:rPr>
          <w:rFonts w:cstheme="minorHAnsi"/>
          <w:sz w:val="24"/>
          <w:szCs w:val="24"/>
        </w:rPr>
      </w:pPr>
      <w:r w:rsidRPr="00392F09">
        <w:rPr>
          <w:rFonts w:cstheme="minorHAnsi"/>
          <w:sz w:val="24"/>
          <w:szCs w:val="24"/>
        </w:rPr>
        <w:t xml:space="preserve">some groups, including the American Hospital Association, are advocating for Congress to establish more lenient terms for these loans.   </w:t>
      </w:r>
    </w:p>
    <w:p w14:paraId="11FD8960" w14:textId="77777777" w:rsidR="0045094D" w:rsidRPr="00392F09" w:rsidRDefault="0045094D" w:rsidP="007F1F1C">
      <w:r w:rsidRPr="00392F09">
        <w:rPr>
          <w:i/>
          <w:iCs/>
          <w:u w:val="single"/>
        </w:rPr>
        <w:t>Will these loans be eligible for forgiveness?</w:t>
      </w:r>
      <w:r w:rsidR="00392F09">
        <w:rPr>
          <w:i/>
          <w:iCs/>
        </w:rPr>
        <w:t xml:space="preserve">  </w:t>
      </w:r>
      <w:r w:rsidRPr="00392F09">
        <w:t xml:space="preserve">No.  The CARES Act explicitly states that these loans will not be eligible for forgiveness.  </w:t>
      </w:r>
    </w:p>
    <w:p w14:paraId="468BE0AC" w14:textId="77777777" w:rsidR="0045094D" w:rsidRPr="00392F09" w:rsidRDefault="0045094D" w:rsidP="007F1F1C"/>
    <w:p w14:paraId="7F36F42E" w14:textId="77777777" w:rsidR="0045094D" w:rsidRDefault="0045094D" w:rsidP="007F1F1C">
      <w:pPr>
        <w:rPr>
          <w:shd w:val="clear" w:color="auto" w:fill="FFFFFF"/>
        </w:rPr>
      </w:pPr>
      <w:r w:rsidRPr="00392F09">
        <w:rPr>
          <w:i/>
          <w:iCs/>
          <w:u w:val="single"/>
        </w:rPr>
        <w:t>What are some of the details that have yet to be determined?</w:t>
      </w:r>
      <w:r w:rsidR="00392F09">
        <w:t xml:space="preserve">  </w:t>
      </w:r>
      <w:r w:rsidRPr="00392F09">
        <w:rPr>
          <w:shd w:val="clear" w:color="auto" w:fill="FFFFFF"/>
        </w:rPr>
        <w:t>Banks may originate new Main Street loans or use Main Street loans to increase the size of existing loans</w:t>
      </w:r>
      <w:r w:rsidR="00392F09">
        <w:rPr>
          <w:shd w:val="clear" w:color="auto" w:fill="FFFFFF"/>
        </w:rPr>
        <w:t xml:space="preserve">. </w:t>
      </w:r>
    </w:p>
    <w:p w14:paraId="7A4296C6" w14:textId="77777777" w:rsidR="00392F09" w:rsidRPr="00392F09" w:rsidRDefault="00392F09" w:rsidP="007F1F1C">
      <w:pPr>
        <w:rPr>
          <w:shd w:val="clear" w:color="auto" w:fill="FFFFFF"/>
        </w:rPr>
      </w:pPr>
    </w:p>
    <w:p w14:paraId="679F12C1" w14:textId="77777777" w:rsidR="0045094D" w:rsidRPr="00392F09" w:rsidRDefault="0045094D" w:rsidP="007F1F1C">
      <w:r w:rsidRPr="00392F09">
        <w:rPr>
          <w:i/>
          <w:iCs/>
          <w:u w:val="single"/>
        </w:rPr>
        <w:t>When can we apply?</w:t>
      </w:r>
      <w:r w:rsidRPr="00392F09">
        <w:t xml:space="preserve">  That has not yet been announced.  The Federal Reserve is accepting comments on their initial program design through April 16, so it is likely that they will wait until after they have received all the comments before opening the application process.  </w:t>
      </w:r>
    </w:p>
    <w:p w14:paraId="5C9F5472" w14:textId="77777777" w:rsidR="0045094D" w:rsidRPr="00392F09" w:rsidRDefault="0045094D" w:rsidP="007F1F1C"/>
    <w:p w14:paraId="67778D8D" w14:textId="77777777" w:rsidR="0045094D" w:rsidRPr="00392F09" w:rsidRDefault="0045094D" w:rsidP="007F1F1C">
      <w:r w:rsidRPr="00392F09">
        <w:rPr>
          <w:i/>
          <w:iCs/>
          <w:u w:val="single"/>
        </w:rPr>
        <w:t>How should we apply?</w:t>
      </w:r>
      <w:r w:rsidRPr="00392F09">
        <w:t xml:space="preserve">  You should apply directly with a lender, though neither the Fed nor banks have released details about the process. It’s usually recommended to apply for a loan at the bank you currently work with.  The details of the application process are expected to vary across banks.  </w:t>
      </w:r>
    </w:p>
    <w:p w14:paraId="707E48E4" w14:textId="77777777" w:rsidR="0045094D" w:rsidRPr="00392F09" w:rsidRDefault="0045094D" w:rsidP="007F1F1C"/>
    <w:p w14:paraId="37BF3788" w14:textId="77777777" w:rsidR="0045094D" w:rsidRPr="00392F09" w:rsidRDefault="0045094D" w:rsidP="007F1F1C">
      <w:pPr>
        <w:rPr>
          <w:color w:val="212529"/>
        </w:rPr>
      </w:pPr>
      <w:r w:rsidRPr="00392F09">
        <w:rPr>
          <w:i/>
          <w:iCs/>
          <w:u w:val="single"/>
        </w:rPr>
        <w:t>How can we prepare to apply?</w:t>
      </w:r>
      <w:r w:rsidRPr="00392F09">
        <w:t xml:space="preserve">  Financial experts recommend that potential applicants begin preparing by </w:t>
      </w:r>
      <w:r w:rsidRPr="00392F09">
        <w:rPr>
          <w:color w:val="212529"/>
        </w:rPr>
        <w:t>gathering:</w:t>
      </w:r>
    </w:p>
    <w:p w14:paraId="3DC23B0B" w14:textId="77777777" w:rsidR="0045094D" w:rsidRPr="00392F09" w:rsidRDefault="0045094D" w:rsidP="007F1F1C">
      <w:pPr>
        <w:pStyle w:val="ListParagraph"/>
        <w:numPr>
          <w:ilvl w:val="0"/>
          <w:numId w:val="25"/>
        </w:numPr>
        <w:rPr>
          <w:rFonts w:cstheme="minorHAnsi"/>
          <w:sz w:val="24"/>
          <w:szCs w:val="24"/>
        </w:rPr>
      </w:pPr>
      <w:r w:rsidRPr="00392F09">
        <w:rPr>
          <w:rFonts w:cstheme="minorHAnsi"/>
          <w:sz w:val="24"/>
          <w:szCs w:val="24"/>
        </w:rPr>
        <w:t>Payroll filings reported to the IRS for 2019</w:t>
      </w:r>
      <w:r w:rsidR="005E2699">
        <w:rPr>
          <w:rFonts w:cstheme="minorHAnsi"/>
          <w:sz w:val="24"/>
          <w:szCs w:val="24"/>
        </w:rPr>
        <w:t>, and</w:t>
      </w:r>
    </w:p>
    <w:p w14:paraId="5F5FD848" w14:textId="77777777" w:rsidR="0045094D" w:rsidRPr="00392F09" w:rsidRDefault="0045094D" w:rsidP="007F1F1C">
      <w:pPr>
        <w:pStyle w:val="ListParagraph"/>
        <w:numPr>
          <w:ilvl w:val="0"/>
          <w:numId w:val="25"/>
        </w:numPr>
        <w:rPr>
          <w:rFonts w:cstheme="minorHAnsi"/>
          <w:sz w:val="24"/>
          <w:szCs w:val="24"/>
        </w:rPr>
      </w:pPr>
      <w:r w:rsidRPr="00392F09">
        <w:rPr>
          <w:rFonts w:cstheme="minorHAnsi"/>
          <w:sz w:val="24"/>
          <w:szCs w:val="24"/>
        </w:rPr>
        <w:t>Payroll records supporting your compensation expenses and total workforce numbers.</w:t>
      </w:r>
    </w:p>
    <w:p w14:paraId="7AF92056" w14:textId="77777777" w:rsidR="0045094D" w:rsidRPr="00392F09" w:rsidRDefault="0045094D" w:rsidP="007F1F1C">
      <w:r w:rsidRPr="00392F09">
        <w:t xml:space="preserve">Having this information readily available is expected to speed the process of applying, once the application window opens.  </w:t>
      </w:r>
    </w:p>
    <w:p w14:paraId="425A8FCF" w14:textId="77777777" w:rsidR="0027135D" w:rsidRPr="00392F09" w:rsidRDefault="0027135D" w:rsidP="007F1F1C"/>
    <w:p w14:paraId="274BC8C0" w14:textId="77777777" w:rsidR="0045094D" w:rsidRPr="00392F09" w:rsidRDefault="0045094D" w:rsidP="007F1F1C">
      <w:r w:rsidRPr="00392F09">
        <w:br w:type="page"/>
      </w:r>
    </w:p>
    <w:p w14:paraId="21612B58" w14:textId="77777777" w:rsidR="00AD6A46" w:rsidRPr="00BD5FA6" w:rsidRDefault="00AD6A46" w:rsidP="007F1F1C">
      <w:pPr>
        <w:pStyle w:val="Heading2"/>
        <w:rPr>
          <w:rFonts w:eastAsia="Calibri"/>
        </w:rPr>
      </w:pPr>
      <w:bookmarkStart w:id="45" w:name="_Toc37850338"/>
      <w:bookmarkStart w:id="46" w:name="_Hlk37858653"/>
      <w:r>
        <w:lastRenderedPageBreak/>
        <w:t>Economic Injury Disaster Loans (EIDLs)</w:t>
      </w:r>
      <w:bookmarkEnd w:id="45"/>
    </w:p>
    <w:bookmarkEnd w:id="46"/>
    <w:p w14:paraId="27C88E49" w14:textId="77777777" w:rsidR="00AD6A46" w:rsidRDefault="00AD6A46" w:rsidP="007F1F1C"/>
    <w:p w14:paraId="54074CA7" w14:textId="77777777" w:rsidR="00AD6A46" w:rsidRDefault="00AD6A46" w:rsidP="007F1F1C">
      <w:r>
        <w:rPr>
          <w:rFonts w:eastAsia="Calibri"/>
        </w:rPr>
        <w:t xml:space="preserve">The </w:t>
      </w:r>
      <w:hyperlink r:id="rId49" w:history="1">
        <w:r>
          <w:rPr>
            <w:rFonts w:eastAsia="Calibri"/>
            <w:color w:val="0563C1"/>
            <w:u w:val="single" w:color="0563C1"/>
          </w:rPr>
          <w:t>Coronavirus Preparedness and Response Supplemental Appropriations Act</w:t>
        </w:r>
      </w:hyperlink>
      <w:r>
        <w:rPr>
          <w:rFonts w:eastAsia="Calibri"/>
        </w:rPr>
        <w:t xml:space="preserve">, signed into law on March 6, 2020 makes low-interest loans and emergency grants available immediately and directly through the </w:t>
      </w:r>
      <w:hyperlink r:id="rId50" w:history="1">
        <w:r>
          <w:rPr>
            <w:rFonts w:eastAsia="Calibri"/>
            <w:color w:val="0563C1"/>
            <w:u w:val="single" w:color="0563C1"/>
          </w:rPr>
          <w:t>Small Business Administration</w:t>
        </w:r>
      </w:hyperlink>
      <w:r>
        <w:rPr>
          <w:rFonts w:eastAsia="Calibri"/>
        </w:rPr>
        <w:t xml:space="preserve"> for health centers that are experiencing substantial economic distress due to COVID-19. </w:t>
      </w:r>
    </w:p>
    <w:p w14:paraId="37147D1B" w14:textId="77777777" w:rsidR="00AD6A46" w:rsidRDefault="00AD6A46" w:rsidP="007F1F1C"/>
    <w:p w14:paraId="281057DE" w14:textId="77777777" w:rsidR="00AD6A46" w:rsidRDefault="00AD6A46" w:rsidP="007F1F1C">
      <w:r>
        <w:rPr>
          <w:rFonts w:eastAsia="Calibri"/>
          <w:i/>
          <w:iCs/>
          <w:u w:val="single"/>
        </w:rPr>
        <w:t>Who qualifies?</w:t>
      </w:r>
      <w:r w:rsidR="00231EA4">
        <w:rPr>
          <w:rFonts w:eastAsia="Calibri"/>
        </w:rPr>
        <w:t xml:space="preserve">  </w:t>
      </w:r>
      <w:r>
        <w:rPr>
          <w:rFonts w:eastAsia="Calibri"/>
        </w:rPr>
        <w:t xml:space="preserve">As private non-profits, all health centers </w:t>
      </w:r>
      <w:r w:rsidRPr="00D22574">
        <w:rPr>
          <w:rFonts w:eastAsia="Calibri"/>
          <w:b/>
          <w:bCs/>
          <w:i/>
          <w:iCs/>
        </w:rPr>
        <w:t>regardless of size</w:t>
      </w:r>
      <w:r>
        <w:rPr>
          <w:rFonts w:eastAsia="Calibri"/>
        </w:rPr>
        <w:t xml:space="preserve"> are eligible under the expanded criteria. Expanded eligibility criteria and emergency grants are only available between January 31, 2020 and December 31, 2020.</w:t>
      </w:r>
      <w:r w:rsidR="00BE0C93">
        <w:rPr>
          <w:rFonts w:eastAsia="Calibri"/>
        </w:rPr>
        <w:t xml:space="preserve">  </w:t>
      </w:r>
    </w:p>
    <w:p w14:paraId="16079813" w14:textId="77777777" w:rsidR="00AD6A46" w:rsidRDefault="00AD6A46" w:rsidP="007F1F1C"/>
    <w:p w14:paraId="3C61BBC3" w14:textId="77777777" w:rsidR="00AD6A46" w:rsidRDefault="00AD6A46" w:rsidP="007F1F1C">
      <w:r>
        <w:rPr>
          <w:rFonts w:eastAsia="Calibri"/>
        </w:rPr>
        <w:t>What are the terms?</w:t>
      </w:r>
    </w:p>
    <w:p w14:paraId="0C6CFDC9" w14:textId="77777777" w:rsidR="00AD6A46" w:rsidRDefault="00BE0C93" w:rsidP="007F1F1C">
      <w:pPr>
        <w:pStyle w:val="ListParagraph"/>
        <w:numPr>
          <w:ilvl w:val="0"/>
          <w:numId w:val="1"/>
        </w:numPr>
      </w:pPr>
      <w:r w:rsidRPr="007F1F1C">
        <w:rPr>
          <w:rFonts w:eastAsia="Calibri"/>
        </w:rPr>
        <w:t>The statute guarantees u</w:t>
      </w:r>
      <w:r w:rsidR="00AD6A46" w:rsidRPr="007F1F1C">
        <w:rPr>
          <w:rFonts w:eastAsia="Calibri"/>
        </w:rPr>
        <w:t>p to $2 million in loan principle assistance.</w:t>
      </w:r>
      <w:r w:rsidRPr="007F1F1C">
        <w:rPr>
          <w:rFonts w:eastAsia="Calibri"/>
        </w:rPr>
        <w:t xml:space="preserve">  However, as of April 14 the SBA system is overwhelmed, and there are reports of applicants receiving only $15,000 per month.  </w:t>
      </w:r>
    </w:p>
    <w:p w14:paraId="4C50C89B" w14:textId="77777777" w:rsidR="00AD6A46" w:rsidRDefault="00AD6A46" w:rsidP="007F1F1C">
      <w:pPr>
        <w:pStyle w:val="ListParagraph"/>
        <w:numPr>
          <w:ilvl w:val="0"/>
          <w:numId w:val="1"/>
        </w:numPr>
      </w:pPr>
      <w:r w:rsidRPr="007F1F1C">
        <w:rPr>
          <w:rFonts w:eastAsia="Calibri"/>
        </w:rPr>
        <w:t xml:space="preserve">When you apply you can request an emergency grant advance of $10,000. The advance </w:t>
      </w:r>
      <w:r w:rsidRPr="007F1F1C">
        <w:rPr>
          <w:rFonts w:eastAsia="Calibri"/>
          <w:u w:val="single"/>
        </w:rPr>
        <w:t>does not need to be repaid</w:t>
      </w:r>
      <w:r w:rsidRPr="007F1F1C">
        <w:rPr>
          <w:rFonts w:eastAsia="Calibri"/>
        </w:rPr>
        <w:t xml:space="preserve"> under any circumstance.</w:t>
      </w:r>
    </w:p>
    <w:p w14:paraId="522CD22D" w14:textId="77777777" w:rsidR="00AD6A46" w:rsidRDefault="00AD6A46" w:rsidP="007F1F1C">
      <w:pPr>
        <w:pStyle w:val="ListParagraph"/>
        <w:numPr>
          <w:ilvl w:val="0"/>
          <w:numId w:val="1"/>
        </w:numPr>
      </w:pPr>
      <w:r w:rsidRPr="007F1F1C">
        <w:rPr>
          <w:rFonts w:eastAsia="Calibri"/>
        </w:rPr>
        <w:t>Grant may be used to keep employees on payroll, to pay for sick leave, meet increased production costs due to supply chain disruptions, or pay business obligations, including debts, rent, and mortgage payments. Money will be available within 3 days of applying.</w:t>
      </w:r>
    </w:p>
    <w:p w14:paraId="1C87E975" w14:textId="77777777" w:rsidR="00AD6A46" w:rsidRDefault="00AD6A46" w:rsidP="007F1F1C">
      <w:pPr>
        <w:pStyle w:val="ListParagraph"/>
        <w:numPr>
          <w:ilvl w:val="0"/>
          <w:numId w:val="1"/>
        </w:numPr>
      </w:pPr>
      <w:r w:rsidRPr="007F1F1C">
        <w:rPr>
          <w:rFonts w:eastAsia="Calibri"/>
        </w:rPr>
        <w:t>May be used to pay fixed debts, payroll, accounts payable and other bills that can’t be paid because of the disaster’s impact.</w:t>
      </w:r>
    </w:p>
    <w:p w14:paraId="2513F091" w14:textId="77777777" w:rsidR="00AD6A46" w:rsidRDefault="00AD6A46" w:rsidP="007F1F1C">
      <w:pPr>
        <w:pStyle w:val="ListParagraph"/>
        <w:numPr>
          <w:ilvl w:val="0"/>
          <w:numId w:val="1"/>
        </w:numPr>
      </w:pPr>
      <w:r w:rsidRPr="007F1F1C">
        <w:rPr>
          <w:rFonts w:eastAsia="Calibri"/>
        </w:rPr>
        <w:t>The interest rate for non-profits is 2.75% and repayment terms are flexible up to 30 years.</w:t>
      </w:r>
    </w:p>
    <w:p w14:paraId="0900B3F6" w14:textId="77777777" w:rsidR="00AD6A46" w:rsidRDefault="00AD6A46" w:rsidP="007F1F1C">
      <w:pPr>
        <w:pStyle w:val="ListParagraph"/>
        <w:numPr>
          <w:ilvl w:val="0"/>
          <w:numId w:val="1"/>
        </w:numPr>
      </w:pPr>
      <w:r w:rsidRPr="007F1F1C">
        <w:rPr>
          <w:rFonts w:eastAsia="Calibri"/>
        </w:rPr>
        <w:t xml:space="preserve">Loans are eligible for 12 months of deferment of principle and interest. </w:t>
      </w:r>
    </w:p>
    <w:p w14:paraId="7B048A34" w14:textId="77777777" w:rsidR="00AD6A46" w:rsidRDefault="00AD6A46" w:rsidP="007F1F1C"/>
    <w:p w14:paraId="7836E2AD" w14:textId="77777777" w:rsidR="00AD6A46" w:rsidRDefault="00AD6A46" w:rsidP="007F1F1C">
      <w:pPr>
        <w:rPr>
          <w:rFonts w:eastAsia="Calibri"/>
        </w:rPr>
      </w:pPr>
      <w:r>
        <w:rPr>
          <w:rFonts w:eastAsia="Calibri"/>
          <w:i/>
          <w:iCs/>
          <w:u w:val="single"/>
        </w:rPr>
        <w:t>How do I apply?</w:t>
      </w:r>
      <w:r w:rsidR="00231EA4">
        <w:rPr>
          <w:rFonts w:eastAsia="Calibri"/>
          <w:i/>
          <w:iCs/>
        </w:rPr>
        <w:t xml:space="preserve">  </w:t>
      </w:r>
      <w:r>
        <w:rPr>
          <w:rFonts w:eastAsia="Calibri"/>
        </w:rPr>
        <w:t xml:space="preserve">Apply directly </w:t>
      </w:r>
      <w:hyperlink r:id="rId51" w:history="1">
        <w:r>
          <w:rPr>
            <w:rFonts w:eastAsia="Calibri"/>
            <w:color w:val="0563C1"/>
            <w:u w:val="single" w:color="0563C1"/>
          </w:rPr>
          <w:t>through the SBA</w:t>
        </w:r>
      </w:hyperlink>
      <w:r>
        <w:rPr>
          <w:rFonts w:eastAsia="Calibri"/>
        </w:rPr>
        <w:t xml:space="preserve">. Applicants may </w:t>
      </w:r>
      <w:hyperlink r:id="rId52" w:history="1">
        <w:r>
          <w:rPr>
            <w:rFonts w:eastAsia="Calibri"/>
            <w:color w:val="0563C1"/>
            <w:u w:val="single" w:color="0563C1"/>
          </w:rPr>
          <w:t>apply online</w:t>
        </w:r>
      </w:hyperlink>
      <w:r>
        <w:rPr>
          <w:rFonts w:eastAsia="Calibri"/>
        </w:rPr>
        <w:t xml:space="preserve"> or call 1-800-659-2955. Questions on the program can be referred to: </w:t>
      </w:r>
      <w:hyperlink r:id="rId53" w:history="1">
        <w:r>
          <w:rPr>
            <w:rFonts w:eastAsia="Calibri"/>
            <w:color w:val="0563C1"/>
            <w:u w:val="single" w:color="0563C1"/>
          </w:rPr>
          <w:t>disastercustomerservice@sba.gov</w:t>
        </w:r>
      </w:hyperlink>
      <w:r>
        <w:rPr>
          <w:rFonts w:eastAsia="Calibri"/>
        </w:rPr>
        <w:t>, or at the number above.</w:t>
      </w:r>
    </w:p>
    <w:p w14:paraId="6CA2F55D" w14:textId="77777777" w:rsidR="004B0889" w:rsidRDefault="004B0889" w:rsidP="007F1F1C">
      <w:pPr>
        <w:rPr>
          <w:rFonts w:eastAsia="Calibri"/>
        </w:rPr>
      </w:pPr>
    </w:p>
    <w:p w14:paraId="42ABEDFE" w14:textId="77777777" w:rsidR="004B0889" w:rsidRDefault="004B0889" w:rsidP="007F1F1C">
      <w:r>
        <w:rPr>
          <w:rFonts w:ascii="Calibri" w:eastAsia="Calibri" w:hAnsi="Calibri" w:cs="Calibri"/>
          <w:i/>
          <w:iCs/>
          <w:u w:val="single"/>
        </w:rPr>
        <w:t xml:space="preserve">How is this program working in practice?  </w:t>
      </w:r>
      <w:r>
        <w:rPr>
          <w:rFonts w:ascii="Calibri" w:eastAsia="Calibri" w:hAnsi="Calibri" w:cs="Calibri"/>
        </w:rPr>
        <w:t xml:space="preserve">  As of early April 2020, the SBA system appears to be </w:t>
      </w:r>
      <w:r w:rsidRPr="0044011D">
        <w:rPr>
          <w:rFonts w:eastAsia="Calibri"/>
        </w:rPr>
        <w:t xml:space="preserve">overwhelmed.  </w:t>
      </w:r>
      <w:hyperlink r:id="rId54" w:history="1">
        <w:r w:rsidRPr="0044011D">
          <w:rPr>
            <w:rStyle w:val="Hyperlink"/>
          </w:rPr>
          <w:t>There are reports</w:t>
        </w:r>
      </w:hyperlink>
      <w:r w:rsidRPr="0044011D">
        <w:t xml:space="preserve"> </w:t>
      </w:r>
      <w:r w:rsidRPr="0044011D">
        <w:rPr>
          <w:rFonts w:eastAsia="Calibri"/>
        </w:rPr>
        <w:t>that</w:t>
      </w:r>
      <w:r>
        <w:rPr>
          <w:rFonts w:ascii="Calibri" w:eastAsia="Calibri" w:hAnsi="Calibri" w:cs="Calibri"/>
        </w:rPr>
        <w:t xml:space="preserve"> applicants are receiving only $15,000 per month, instead of the $2 million laid out in statute.  There have also been reports of larger health centers being given incorrect information about their eligibility from SBA staff.  </w:t>
      </w:r>
    </w:p>
    <w:p w14:paraId="58D5F0D4" w14:textId="77777777" w:rsidR="004B0889" w:rsidRPr="004B0889" w:rsidRDefault="004B0889" w:rsidP="007F1F1C"/>
    <w:p w14:paraId="2284E0C4" w14:textId="77777777" w:rsidR="002D5955" w:rsidRDefault="002D5955" w:rsidP="007F1F1C">
      <w:pPr>
        <w:pStyle w:val="Heading2"/>
        <w:rPr>
          <w:i/>
          <w:color w:val="333333"/>
        </w:rPr>
      </w:pPr>
      <w:r>
        <w:rPr>
          <w:sz w:val="22"/>
          <w:szCs w:val="22"/>
        </w:rPr>
        <w:br w:type="page"/>
      </w:r>
      <w:bookmarkStart w:id="47" w:name="_Toc37850339"/>
      <w:r w:rsidR="0044011D">
        <w:lastRenderedPageBreak/>
        <w:t>Federal T</w:t>
      </w:r>
      <w:r>
        <w:t xml:space="preserve">ax Credits for </w:t>
      </w:r>
      <w:r w:rsidRPr="00D9595E">
        <w:t xml:space="preserve">Employee </w:t>
      </w:r>
      <w:r>
        <w:t>R</w:t>
      </w:r>
      <w:r w:rsidRPr="00D9595E">
        <w:t>etention</w:t>
      </w:r>
      <w:bookmarkEnd w:id="47"/>
    </w:p>
    <w:p w14:paraId="5EAF7A52" w14:textId="77777777" w:rsidR="002D5955" w:rsidRDefault="002D5955" w:rsidP="007F1F1C"/>
    <w:p w14:paraId="0CF481B2" w14:textId="77777777" w:rsidR="002D5955" w:rsidRDefault="002D5955" w:rsidP="007F1F1C">
      <w:pPr>
        <w:rPr>
          <w:b/>
          <w:bCs/>
          <w:i/>
          <w:iCs/>
        </w:rPr>
      </w:pPr>
      <w:bookmarkStart w:id="48" w:name="_Hlk37015581"/>
      <w:r w:rsidRPr="000E1DBF">
        <w:t xml:space="preserve">Section 2301 of the CARES Act provides a refundable payroll tax credit for certain wages paid to employees </w:t>
      </w:r>
      <w:r>
        <w:t xml:space="preserve">who are not able to “provide services” due to COVID-19.  This program, along with ability to defer certain employment taxes (as established under </w:t>
      </w:r>
      <w:r w:rsidRPr="000E1DBF">
        <w:t xml:space="preserve">Section 2302 </w:t>
      </w:r>
      <w:r>
        <w:t xml:space="preserve">of CARES), </w:t>
      </w:r>
      <w:r w:rsidRPr="000E1DBF">
        <w:t xml:space="preserve">are designed to encourage employers to continue paying wages to employees </w:t>
      </w:r>
      <w:r>
        <w:t>even when they are unable to perform their regular duties</w:t>
      </w:r>
      <w:r w:rsidRPr="000E1DBF">
        <w:t>.</w:t>
      </w:r>
      <w:r w:rsidRPr="000E1DBF">
        <w:br/>
      </w:r>
    </w:p>
    <w:bookmarkEnd w:id="48"/>
    <w:p w14:paraId="1B203E57" w14:textId="77777777" w:rsidR="00553707" w:rsidRPr="00392779" w:rsidRDefault="002D5955" w:rsidP="007F1F1C">
      <w:r w:rsidRPr="00392779">
        <w:rPr>
          <w:i/>
          <w:iCs/>
          <w:u w:val="single"/>
        </w:rPr>
        <w:t>Who is eligible?</w:t>
      </w:r>
      <w:r w:rsidRPr="00392779">
        <w:rPr>
          <w:i/>
          <w:iCs/>
        </w:rPr>
        <w:t xml:space="preserve">  </w:t>
      </w:r>
      <w:r w:rsidRPr="00392779">
        <w:t xml:space="preserve">All employers are eligible </w:t>
      </w:r>
      <w:r w:rsidR="00553707" w:rsidRPr="00392779">
        <w:t>–</w:t>
      </w:r>
      <w:r w:rsidRPr="00392779">
        <w:t xml:space="preserve"> regardless of size – provided that:</w:t>
      </w:r>
    </w:p>
    <w:p w14:paraId="3F045DAE" w14:textId="77777777" w:rsidR="002D5955" w:rsidRPr="00392779" w:rsidRDefault="002D5955" w:rsidP="007F1F1C">
      <w:pPr>
        <w:pStyle w:val="ListParagraph"/>
        <w:numPr>
          <w:ilvl w:val="0"/>
          <w:numId w:val="16"/>
        </w:numPr>
        <w:rPr>
          <w:rFonts w:eastAsia="Times New Roman"/>
          <w:color w:val="333333"/>
        </w:rPr>
      </w:pPr>
      <w:r w:rsidRPr="00392779">
        <w:rPr>
          <w:rFonts w:eastAsia="Times New Roman"/>
          <w:color w:val="333333"/>
        </w:rPr>
        <w:t xml:space="preserve">they did </w:t>
      </w:r>
      <w:r w:rsidRPr="00392779">
        <w:rPr>
          <w:rFonts w:eastAsia="Times New Roman"/>
          <w:color w:val="333333"/>
          <w:u w:val="single"/>
        </w:rPr>
        <w:t xml:space="preserve">not </w:t>
      </w:r>
      <w:r w:rsidRPr="00392779">
        <w:t xml:space="preserve">receive a Paycheck Protection Program Loan or Small Business Interruption Loan, </w:t>
      </w:r>
      <w:r w:rsidRPr="00392779">
        <w:rPr>
          <w:u w:val="single"/>
        </w:rPr>
        <w:t xml:space="preserve">and </w:t>
      </w:r>
    </w:p>
    <w:p w14:paraId="258AC064" w14:textId="77777777" w:rsidR="002D5955" w:rsidRPr="00392779" w:rsidRDefault="002D5955" w:rsidP="007F1F1C">
      <w:pPr>
        <w:pStyle w:val="ListParagraph"/>
        <w:numPr>
          <w:ilvl w:val="0"/>
          <w:numId w:val="16"/>
        </w:numPr>
        <w:rPr>
          <w:rFonts w:eastAsia="Times New Roman"/>
          <w:color w:val="333333"/>
        </w:rPr>
      </w:pPr>
      <w:r w:rsidRPr="00392779">
        <w:t>during the quarter for which they are seeking the credit, either:</w:t>
      </w:r>
    </w:p>
    <w:p w14:paraId="5703908C" w14:textId="77777777" w:rsidR="002D5955" w:rsidRPr="00392779" w:rsidRDefault="002D5955" w:rsidP="007F1F1C">
      <w:pPr>
        <w:pStyle w:val="ListParagraph"/>
        <w:numPr>
          <w:ilvl w:val="1"/>
          <w:numId w:val="16"/>
        </w:numPr>
      </w:pPr>
      <w:r w:rsidRPr="00392779">
        <w:t xml:space="preserve">Their operations were fully or partially suspended as a result of orders from a governmental authority limiting commerce, travel, or group meetings due to COVID-19, </w:t>
      </w:r>
      <w:r w:rsidRPr="007F1F1C">
        <w:rPr>
          <w:u w:val="single"/>
        </w:rPr>
        <w:t>or</w:t>
      </w:r>
    </w:p>
    <w:p w14:paraId="3ECD2AFE" w14:textId="77777777" w:rsidR="002D5955" w:rsidRPr="00226DC8" w:rsidRDefault="002D5955" w:rsidP="007F1F1C">
      <w:pPr>
        <w:pStyle w:val="ListParagraph"/>
        <w:numPr>
          <w:ilvl w:val="1"/>
          <w:numId w:val="16"/>
        </w:numPr>
      </w:pPr>
      <w:r w:rsidRPr="00392779">
        <w:t>Their gross receipts for the quarter were less than 50% of the gross receipts for the same calendar quarter in the prior year.</w:t>
      </w:r>
      <w:r w:rsidRPr="00772EBB">
        <w:t xml:space="preserve"> </w:t>
      </w:r>
      <w:r w:rsidRPr="00226DC8">
        <w:t>The employer will remain eligible for the credit until the quarter when their gross receipts equal 80% of the gross receipts for the same calendar quarter in 2019.</w:t>
      </w:r>
    </w:p>
    <w:p w14:paraId="5FF72DD6" w14:textId="77777777" w:rsidR="002D5955" w:rsidRPr="00392779" w:rsidRDefault="002D5955" w:rsidP="007F1F1C"/>
    <w:p w14:paraId="28A6433C" w14:textId="77777777" w:rsidR="002D5955" w:rsidRDefault="002D5955" w:rsidP="007F1F1C">
      <w:pPr>
        <w:rPr>
          <w:color w:val="333333"/>
        </w:rPr>
      </w:pPr>
      <w:r w:rsidRPr="00392779">
        <w:rPr>
          <w:i/>
          <w:iCs/>
          <w:u w:val="single"/>
        </w:rPr>
        <w:t>What is the net value of the credit?</w:t>
      </w:r>
      <w:r w:rsidRPr="00392779">
        <w:rPr>
          <w:i/>
          <w:iCs/>
        </w:rPr>
        <w:t xml:space="preserve">  </w:t>
      </w:r>
      <w:r w:rsidRPr="00392779">
        <w:t>An employer can receive a maximum credit of $5,000 for each eligible employee</w:t>
      </w:r>
      <w:r>
        <w:t xml:space="preserve"> during each qualifying quarter</w:t>
      </w:r>
      <w:r w:rsidRPr="00392779">
        <w:t xml:space="preserve">.  </w:t>
      </w:r>
      <w:r w:rsidRPr="00392779">
        <w:rPr>
          <w:color w:val="333333"/>
        </w:rPr>
        <w:t>The credit is equal to 50% of “qualified wages” paid to employees during a quarter, capped at $10,000 of “qualified wages.” The credit is available for wages paid from March 13 to December 31, 2020.</w:t>
      </w:r>
      <w:r>
        <w:rPr>
          <w:color w:val="333333"/>
        </w:rPr>
        <w:t xml:space="preserve">  </w:t>
      </w:r>
    </w:p>
    <w:p w14:paraId="0D6E1C22" w14:textId="77777777" w:rsidR="002D5955" w:rsidRPr="00392779" w:rsidRDefault="002D5955" w:rsidP="007F1F1C">
      <w:r w:rsidRPr="00392779">
        <w:br/>
      </w:r>
      <w:r w:rsidRPr="00392779">
        <w:rPr>
          <w:i/>
          <w:iCs/>
          <w:u w:val="single"/>
        </w:rPr>
        <w:t>What are “qualifying wages”?</w:t>
      </w:r>
      <w:r w:rsidRPr="00392779">
        <w:rPr>
          <w:b/>
          <w:bCs/>
          <w:i/>
          <w:iCs/>
        </w:rPr>
        <w:t xml:space="preserve">  </w:t>
      </w:r>
      <w:r w:rsidR="00231EA4">
        <w:rPr>
          <w:b/>
          <w:bCs/>
          <w:i/>
          <w:iCs/>
        </w:rPr>
        <w:t xml:space="preserve"> </w:t>
      </w:r>
      <w:r w:rsidRPr="00392779">
        <w:t>For employers with over 100 full-time employees, the tax credit is available only for wages paid to employees who are </w:t>
      </w:r>
      <w:r w:rsidRPr="00392779">
        <w:rPr>
          <w:b/>
          <w:bCs/>
          <w:i/>
          <w:iCs/>
        </w:rPr>
        <w:t>not providing services</w:t>
      </w:r>
      <w:r w:rsidRPr="00392779">
        <w:t xml:space="preserve"> due to the suspension of operations or decline in gross receipts.  </w:t>
      </w:r>
      <w:r>
        <w:t xml:space="preserve"> “Not providing services” has not yet been defined, so it is unclear if staff who have been reassigned to different duties would qualify. “Qualified wages” include h</w:t>
      </w:r>
      <w:r w:rsidRPr="00392779">
        <w:t>ealth plan expenses</w:t>
      </w:r>
      <w:r>
        <w:t>, but not wages</w:t>
      </w:r>
      <w:r w:rsidRPr="00392779">
        <w:t xml:space="preserve"> for which </w:t>
      </w:r>
      <w:r>
        <w:t xml:space="preserve">an </w:t>
      </w:r>
      <w:r w:rsidRPr="00392779">
        <w:t xml:space="preserve">employer </w:t>
      </w:r>
      <w:r>
        <w:t xml:space="preserve">is taking another tax credit (e.g., tax </w:t>
      </w:r>
      <w:r w:rsidRPr="00392779">
        <w:t>credit for sick or family leave under FFCRA.</w:t>
      </w:r>
      <w:r>
        <w:t>)</w:t>
      </w:r>
    </w:p>
    <w:p w14:paraId="5439F4D4" w14:textId="77777777" w:rsidR="002D5955" w:rsidRPr="000E1DBF" w:rsidRDefault="002D5955" w:rsidP="007F1F1C">
      <w:pPr>
        <w:rPr>
          <w:i/>
          <w:iCs/>
          <w:u w:val="single"/>
        </w:rPr>
      </w:pPr>
      <w:r w:rsidRPr="00392779">
        <w:br/>
      </w:r>
      <w:r w:rsidRPr="000E1DBF">
        <w:rPr>
          <w:i/>
          <w:iCs/>
          <w:u w:val="single"/>
        </w:rPr>
        <w:t>How to claim the credit</w:t>
      </w:r>
      <w:r w:rsidRPr="000E1DBF">
        <w:rPr>
          <w:u w:val="single"/>
        </w:rPr>
        <w:t>?</w:t>
      </w:r>
      <w:r w:rsidRPr="00392779">
        <w:t xml:space="preserve">  Per IR 2020-62 (dated March 31, 2020), employers can immediately recoup their refundable tax credits by reducing their total federal tax deposit amount from </w:t>
      </w:r>
      <w:r w:rsidRPr="00392779">
        <w:rPr>
          <w:b/>
          <w:bCs/>
          <w:i/>
          <w:iCs/>
        </w:rPr>
        <w:t>all</w:t>
      </w:r>
      <w:r w:rsidRPr="00392779">
        <w:t> employees (not just from those who are receiving wages that qualify for the credit) by the amount of eligible credit. Specifically, employers can deduct the amount of tax credit from: (1) federal income taxes withheld from all employees’ pay; (2) the employees’ share of Social Security and Medicare taxes; and (3) the employer’s share of Social Security and Medicare taxes. These credits will ultimately be reconciled against the total tax liabilities when employers file their quarterly Form 941 or other employment tax returns.</w:t>
      </w:r>
      <w:r w:rsidRPr="00392779">
        <w:br/>
      </w:r>
    </w:p>
    <w:p w14:paraId="4E7256DC" w14:textId="77777777" w:rsidR="002D5955" w:rsidRDefault="002D5955" w:rsidP="007F1F1C">
      <w:r w:rsidRPr="000E1DBF">
        <w:rPr>
          <w:i/>
          <w:iCs/>
          <w:u w:val="single"/>
        </w:rPr>
        <w:lastRenderedPageBreak/>
        <w:t>Is there a faster way to get the credit?</w:t>
      </w:r>
      <w:r w:rsidRPr="000E1DBF">
        <w:t xml:space="preserve">  </w:t>
      </w:r>
      <w:r w:rsidRPr="00392779">
        <w:t xml:space="preserve">Perhaps.  </w:t>
      </w:r>
      <w:bookmarkStart w:id="49" w:name="_Hlk37010677"/>
      <w:r w:rsidRPr="00392779">
        <w:t xml:space="preserve">Employers can request an advance on these credits by using the new </w:t>
      </w:r>
      <w:hyperlink r:id="rId55" w:tgtFrame="_blank" w:history="1">
        <w:r w:rsidRPr="00392779">
          <w:rPr>
            <w:color w:val="428BCA"/>
            <w:u w:val="single"/>
          </w:rPr>
          <w:t>Form 7200</w:t>
        </w:r>
      </w:hyperlink>
      <w:r w:rsidRPr="00392779">
        <w:t>, Advance Payment of Employer Credits Due to COVID-19</w:t>
      </w:r>
      <w:bookmarkEnd w:id="49"/>
      <w:r w:rsidRPr="00392779">
        <w:t xml:space="preserve">.  The IRS is supposed to process the advances within two weeks of receiving  a Form 7200.  However, the IRS’ system does not yet appear to be fully operational, and it is unclear when it will be up and running.  To maximize cash on hand, health centers should consider whether they might be better off offsetting their accumulated tax credits from their upcoming payroll deposits, or requesting an advance on </w:t>
      </w:r>
      <w:hyperlink r:id="rId56" w:tgtFrame="_blank" w:history="1">
        <w:r w:rsidRPr="00392779">
          <w:rPr>
            <w:color w:val="428BCA"/>
            <w:u w:val="single"/>
          </w:rPr>
          <w:t>Form 7200</w:t>
        </w:r>
      </w:hyperlink>
      <w:r w:rsidRPr="00392779">
        <w:t>.</w:t>
      </w:r>
    </w:p>
    <w:p w14:paraId="137B1AB4" w14:textId="77777777" w:rsidR="00AA7014" w:rsidRDefault="00AA7014" w:rsidP="007F1F1C"/>
    <w:p w14:paraId="74BC2AA1" w14:textId="77777777" w:rsidR="00AA7014" w:rsidRDefault="00AA7014" w:rsidP="007F1F1C"/>
    <w:p w14:paraId="71BC4803" w14:textId="77777777" w:rsidR="00AA7014" w:rsidRDefault="00AA7014" w:rsidP="007F1F1C"/>
    <w:p w14:paraId="5F23A016" w14:textId="77777777" w:rsidR="00B466E4" w:rsidRDefault="00B466E4" w:rsidP="007F1F1C">
      <w:pPr>
        <w:rPr>
          <w:sz w:val="32"/>
          <w:szCs w:val="32"/>
        </w:rPr>
      </w:pPr>
      <w:r>
        <w:br w:type="page"/>
      </w:r>
    </w:p>
    <w:p w14:paraId="74C155B7" w14:textId="77777777" w:rsidR="002D5955" w:rsidRDefault="002D5955" w:rsidP="007F1F1C">
      <w:pPr>
        <w:pStyle w:val="Heading2"/>
      </w:pPr>
      <w:bookmarkStart w:id="50" w:name="_Toc37850340"/>
      <w:bookmarkStart w:id="51" w:name="_Hlk37858654"/>
      <w:r>
        <w:lastRenderedPageBreak/>
        <w:t>Deferral of Employer Share of Social Security Taxes</w:t>
      </w:r>
      <w:bookmarkEnd w:id="50"/>
    </w:p>
    <w:bookmarkEnd w:id="51"/>
    <w:p w14:paraId="380232A2" w14:textId="77777777" w:rsidR="002D5955" w:rsidRDefault="002D5955" w:rsidP="007F1F1C"/>
    <w:p w14:paraId="475D5315" w14:textId="77777777" w:rsidR="002D5955" w:rsidRPr="0096427E" w:rsidRDefault="002D5955" w:rsidP="007F1F1C">
      <w:r w:rsidRPr="0096427E">
        <w:t>Section 2302 of the CARES Act allows employers to defer payment of the employer portion of Social Security taxes that would otherwise be due from March 27 through December 31, 2020, without penalty or interest charges.  Employers must pay 50% of the deferred amount by December 31, 2021, and the remainder by December 31, 2022</w:t>
      </w:r>
      <w:r w:rsidR="00553707">
        <w:t>.</w:t>
      </w:r>
    </w:p>
    <w:p w14:paraId="62492B7D" w14:textId="77777777" w:rsidR="002D5955" w:rsidRDefault="002D5955" w:rsidP="007F1F1C"/>
    <w:p w14:paraId="2C16329A" w14:textId="77777777" w:rsidR="002D5955" w:rsidRDefault="002D5955" w:rsidP="007F1F1C">
      <w:r w:rsidRPr="00392779">
        <w:rPr>
          <w:i/>
          <w:iCs/>
          <w:u w:val="single"/>
        </w:rPr>
        <w:t>Who is eligible?</w:t>
      </w:r>
      <w:r w:rsidRPr="00392779">
        <w:rPr>
          <w:i/>
          <w:iCs/>
        </w:rPr>
        <w:t xml:space="preserve">  </w:t>
      </w:r>
      <w:r w:rsidRPr="00392779">
        <w:t xml:space="preserve">All employers are eligible </w:t>
      </w:r>
      <w:r>
        <w:t xml:space="preserve">for this deferral, for all of their employees.  (However, employers who also receive a Paycheck Protection Program loan may lose the ability to defer these payments if their PPP loan is forgiven.)  </w:t>
      </w:r>
    </w:p>
    <w:p w14:paraId="6AA00FC4" w14:textId="77777777" w:rsidR="002D5955" w:rsidRDefault="002D5955" w:rsidP="007F1F1C"/>
    <w:p w14:paraId="1989B988" w14:textId="77777777" w:rsidR="002D5955" w:rsidRDefault="002D5955" w:rsidP="007F1F1C">
      <w:r>
        <w:rPr>
          <w:i/>
          <w:iCs/>
          <w:u w:val="single"/>
        </w:rPr>
        <w:t>Is this a tax credit, or just an extension of the due date?</w:t>
      </w:r>
      <w:r>
        <w:t xml:space="preserve">  Simply an interest-free and penalty-free extension of the due date.  All taxes owed must eventually be paid.  </w:t>
      </w:r>
    </w:p>
    <w:p w14:paraId="539F5C63" w14:textId="77777777" w:rsidR="002D5955" w:rsidRDefault="002D5955" w:rsidP="007F1F1C"/>
    <w:p w14:paraId="23A834D5" w14:textId="77777777" w:rsidR="002D5955" w:rsidRPr="000B5EEC" w:rsidRDefault="002D5955" w:rsidP="007F1F1C">
      <w:pPr>
        <w:rPr>
          <w:i/>
          <w:iCs/>
          <w:u w:val="single"/>
        </w:rPr>
      </w:pPr>
      <w:r>
        <w:rPr>
          <w:i/>
          <w:iCs/>
          <w:u w:val="single"/>
        </w:rPr>
        <w:t>Which taxes can we defer?</w:t>
      </w:r>
      <w:r w:rsidR="00231EA4">
        <w:t xml:space="preserve">  </w:t>
      </w:r>
      <w:r>
        <w:t xml:space="preserve">You can defer the </w:t>
      </w:r>
      <w:r w:rsidRPr="0096427E">
        <w:t>employer portion of Social Security taxes that would otherwise be due from March 27 through December 31, 2020</w:t>
      </w:r>
      <w:r>
        <w:t xml:space="preserve">, without incurring penalties or interest charges.  </w:t>
      </w:r>
    </w:p>
    <w:p w14:paraId="06FF9451" w14:textId="77777777" w:rsidR="002D5955" w:rsidRPr="00383980" w:rsidRDefault="002D5955" w:rsidP="007F1F1C"/>
    <w:p w14:paraId="15E99F1A" w14:textId="77777777" w:rsidR="002D5955" w:rsidRPr="00626809" w:rsidRDefault="002D5955" w:rsidP="007F1F1C">
      <w:pPr>
        <w:rPr>
          <w:color w:val="333333"/>
        </w:rPr>
      </w:pPr>
      <w:r w:rsidRPr="00553707">
        <w:rPr>
          <w:i/>
          <w:u w:val="single"/>
        </w:rPr>
        <w:t>How long is the due date extended for?</w:t>
      </w:r>
      <w:r w:rsidRPr="00392779">
        <w:t xml:space="preserve">  </w:t>
      </w:r>
      <w:r w:rsidRPr="00553707">
        <w:t>Health centers must pay:</w:t>
      </w:r>
    </w:p>
    <w:p w14:paraId="3E895A59" w14:textId="77777777" w:rsidR="002D5955" w:rsidRPr="00553707" w:rsidRDefault="002D5955" w:rsidP="007F1F1C">
      <w:pPr>
        <w:pStyle w:val="ListParagraph"/>
        <w:numPr>
          <w:ilvl w:val="0"/>
          <w:numId w:val="17"/>
        </w:numPr>
      </w:pPr>
      <w:r w:rsidRPr="00553707">
        <w:t xml:space="preserve">50% of the deferred amount by December 31, 2021, and </w:t>
      </w:r>
    </w:p>
    <w:p w14:paraId="365BE11F" w14:textId="77777777" w:rsidR="002D5955" w:rsidRPr="00553707" w:rsidRDefault="002D5955" w:rsidP="007F1F1C">
      <w:pPr>
        <w:pStyle w:val="ListParagraph"/>
        <w:numPr>
          <w:ilvl w:val="0"/>
          <w:numId w:val="17"/>
        </w:numPr>
      </w:pPr>
      <w:r w:rsidRPr="00553707">
        <w:t>the remaining 50% by December 31, 2022.</w:t>
      </w:r>
    </w:p>
    <w:p w14:paraId="7DD84577" w14:textId="77777777" w:rsidR="002D5955" w:rsidRPr="00626809" w:rsidRDefault="002D5955" w:rsidP="007F1F1C">
      <w:r w:rsidRPr="00231EA4">
        <w:rPr>
          <w:i/>
          <w:iCs/>
          <w:u w:val="single"/>
        </w:rPr>
        <w:t>How does this provision interact with the $5,000 tax credit for employees who cannot “provide services”?</w:t>
      </w:r>
      <w:r w:rsidR="00231EA4">
        <w:t xml:space="preserve">  </w:t>
      </w:r>
      <w:r w:rsidRPr="00231EA4">
        <w:t>A lot of these details are not yet clear.  At the moment, it appears that an employer could defer its deposit of payroll taxes that are otherwise due from March 13 to December 31, 2020 (using this provision) and offset against those un-remitted payroll taxes the employee retention credit (under Section</w:t>
      </w:r>
      <w:r w:rsidRPr="00626809">
        <w:t xml:space="preserve"> 2301 of the CARES Act</w:t>
      </w:r>
      <w:r>
        <w:t>.</w:t>
      </w:r>
      <w:r w:rsidRPr="00626809">
        <w:t>)</w:t>
      </w:r>
      <w:r>
        <w:t xml:space="preserve">  That would </w:t>
      </w:r>
      <w:r w:rsidRPr="00626809">
        <w:t>reduce the amount that the employer would eventually need to remit (i.e., 50% of the net amount would be owed on December 31, 2021, and the remainder would be owed on December 31, 2022).</w:t>
      </w:r>
    </w:p>
    <w:p w14:paraId="6CEDD2F3" w14:textId="77777777" w:rsidR="002D5955" w:rsidRDefault="002D5955" w:rsidP="007F1F1C"/>
    <w:p w14:paraId="7AC2A3B1" w14:textId="77777777" w:rsidR="002D5955" w:rsidRDefault="002D5955" w:rsidP="007F1F1C">
      <w:pPr>
        <w:rPr>
          <w:color w:val="333333"/>
        </w:rPr>
      </w:pPr>
      <w:r w:rsidRPr="00FA541B">
        <w:rPr>
          <w:i/>
          <w:iCs/>
          <w:u w:val="single"/>
        </w:rPr>
        <w:t>Where can we get more information?</w:t>
      </w:r>
      <w:r w:rsidRPr="00FA541B">
        <w:t xml:space="preserve">  See</w:t>
      </w:r>
      <w:r>
        <w:t xml:space="preserve"> </w:t>
      </w:r>
      <w:hyperlink r:id="rId57" w:history="1">
        <w:r w:rsidRPr="00FA541B">
          <w:rPr>
            <w:rStyle w:val="Hyperlink"/>
          </w:rPr>
          <w:t>IRS Notice 2020-22</w:t>
        </w:r>
      </w:hyperlink>
      <w:r w:rsidRPr="00FA541B">
        <w:rPr>
          <w:color w:val="333333"/>
        </w:rPr>
        <w:t xml:space="preserve"> , dated</w:t>
      </w:r>
      <w:r w:rsidRPr="0096427E">
        <w:rPr>
          <w:color w:val="333333"/>
        </w:rPr>
        <w:t xml:space="preserve"> March 31, 2020</w:t>
      </w:r>
      <w:r>
        <w:rPr>
          <w:color w:val="333333"/>
        </w:rPr>
        <w:t>.</w:t>
      </w:r>
      <w:r>
        <w:rPr>
          <w:color w:val="333333"/>
        </w:rPr>
        <w:br w:type="page"/>
      </w:r>
    </w:p>
    <w:p w14:paraId="180EC167" w14:textId="77777777" w:rsidR="002D5955" w:rsidRDefault="002D5955" w:rsidP="007F1F1C">
      <w:pPr>
        <w:rPr>
          <w:rFonts w:eastAsia="Calibri"/>
        </w:rPr>
      </w:pPr>
    </w:p>
    <w:p w14:paraId="091E48E4" w14:textId="77777777" w:rsidR="002D5955" w:rsidRPr="002A7270" w:rsidRDefault="002D5955" w:rsidP="007F1F1C">
      <w:pPr>
        <w:pStyle w:val="Heading2"/>
      </w:pPr>
      <w:bookmarkStart w:id="52" w:name="_Toc37850341"/>
      <w:bookmarkStart w:id="53" w:name="_Hlk37858655"/>
      <w:r w:rsidRPr="002A7270">
        <w:t>A</w:t>
      </w:r>
      <w:r w:rsidR="001529FA" w:rsidRPr="002A7270">
        <w:t xml:space="preserve">dvanced </w:t>
      </w:r>
      <w:r w:rsidRPr="002A7270">
        <w:t>Medicare Payments</w:t>
      </w:r>
      <w:bookmarkEnd w:id="52"/>
    </w:p>
    <w:bookmarkEnd w:id="53"/>
    <w:p w14:paraId="69DEF658" w14:textId="77777777" w:rsidR="001529FA" w:rsidRPr="00392F09" w:rsidRDefault="001529FA" w:rsidP="00392F09">
      <w:pPr>
        <w:jc w:val="center"/>
        <w:rPr>
          <w:b/>
          <w:bCs/>
          <w:i/>
          <w:iCs/>
          <w:sz w:val="28"/>
          <w:szCs w:val="28"/>
        </w:rPr>
      </w:pPr>
      <w:r w:rsidRPr="00392F09">
        <w:rPr>
          <w:b/>
          <w:bCs/>
          <w:i/>
          <w:iCs/>
          <w:sz w:val="28"/>
          <w:szCs w:val="28"/>
        </w:rPr>
        <w:t>Also known as “Accelerated Medicare Payments”</w:t>
      </w:r>
    </w:p>
    <w:p w14:paraId="299D6B8E" w14:textId="77777777" w:rsidR="002D5955" w:rsidRDefault="002D5955" w:rsidP="007F1F1C">
      <w:pPr>
        <w:pStyle w:val="Heading1"/>
      </w:pPr>
    </w:p>
    <w:p w14:paraId="1733FB68" w14:textId="77777777" w:rsidR="002D5955" w:rsidRPr="0044011D" w:rsidRDefault="002D5955" w:rsidP="007F1F1C">
      <w:r w:rsidRPr="0044011D">
        <w:rPr>
          <w:rFonts w:eastAsia="Calibri"/>
          <w:i/>
          <w:iCs/>
          <w:u w:val="single"/>
        </w:rPr>
        <w:t>Who qualifies?</w:t>
      </w:r>
      <w:r w:rsidRPr="0044011D">
        <w:rPr>
          <w:rFonts w:eastAsia="Calibri"/>
        </w:rPr>
        <w:t xml:space="preserve">  All health centers that have billed Medicare within the past six months.  </w:t>
      </w:r>
    </w:p>
    <w:p w14:paraId="40408FEF" w14:textId="77777777" w:rsidR="00DA71AE" w:rsidRDefault="00DA71AE" w:rsidP="007F1F1C">
      <w:pPr>
        <w:rPr>
          <w:rFonts w:eastAsia="Calibri"/>
        </w:rPr>
      </w:pPr>
    </w:p>
    <w:p w14:paraId="07DEA4C9" w14:textId="77777777" w:rsidR="002D5955" w:rsidRPr="00392F09" w:rsidRDefault="002D5955" w:rsidP="007F1F1C">
      <w:pPr>
        <w:rPr>
          <w:rFonts w:eastAsia="Calibri"/>
          <w:i/>
          <w:iCs/>
          <w:u w:val="single"/>
        </w:rPr>
      </w:pPr>
      <w:r w:rsidRPr="00392F09">
        <w:rPr>
          <w:rFonts w:eastAsia="Calibri"/>
          <w:i/>
          <w:iCs/>
          <w:u w:val="single"/>
        </w:rPr>
        <w:t xml:space="preserve">What are the terms? </w:t>
      </w:r>
    </w:p>
    <w:p w14:paraId="03646826" w14:textId="77777777" w:rsidR="002D5955" w:rsidRPr="0044011D" w:rsidRDefault="002D5955" w:rsidP="007F1F1C">
      <w:pPr>
        <w:pStyle w:val="ListParagraph"/>
        <w:numPr>
          <w:ilvl w:val="0"/>
          <w:numId w:val="9"/>
        </w:numPr>
        <w:rPr>
          <w:rStyle w:val="Emphasis"/>
          <w:rFonts w:eastAsia="Calibri"/>
          <w:i/>
          <w:iCs/>
          <w:sz w:val="24"/>
          <w:szCs w:val="24"/>
          <w:u w:val="single"/>
        </w:rPr>
      </w:pPr>
      <w:r w:rsidRPr="0044011D">
        <w:rPr>
          <w:rStyle w:val="Emphasis"/>
          <w:i/>
          <w:iCs/>
          <w:sz w:val="24"/>
          <w:szCs w:val="24"/>
        </w:rPr>
        <w:t xml:space="preserve">FQHCs can receive up to three months’ worth of their average Medicare revenues in advance.  </w:t>
      </w:r>
    </w:p>
    <w:p w14:paraId="3DFC24F7" w14:textId="77777777" w:rsidR="002D5955" w:rsidRPr="0044011D" w:rsidRDefault="002D5955" w:rsidP="007F1F1C">
      <w:pPr>
        <w:pStyle w:val="ListParagraph"/>
        <w:numPr>
          <w:ilvl w:val="0"/>
          <w:numId w:val="9"/>
        </w:numPr>
        <w:rPr>
          <w:rFonts w:eastAsia="Calibri"/>
          <w:u w:val="single"/>
        </w:rPr>
      </w:pPr>
      <w:r w:rsidRPr="0044011D">
        <w:rPr>
          <w:rStyle w:val="Emphasis"/>
          <w:i/>
          <w:iCs/>
          <w:sz w:val="24"/>
          <w:szCs w:val="24"/>
        </w:rPr>
        <w:t>Funds should be received within seven calendar days of submitting a request to your MAC</w:t>
      </w:r>
      <w:r w:rsidRPr="0044011D">
        <w:t>.</w:t>
      </w:r>
    </w:p>
    <w:p w14:paraId="0D22E330" w14:textId="77777777" w:rsidR="002A7270" w:rsidRPr="00553707" w:rsidRDefault="001529FA" w:rsidP="007F1F1C">
      <w:pPr>
        <w:pStyle w:val="ListParagraph"/>
        <w:numPr>
          <w:ilvl w:val="0"/>
          <w:numId w:val="9"/>
        </w:numPr>
        <w:rPr>
          <w:sz w:val="24"/>
        </w:rPr>
      </w:pPr>
      <w:r w:rsidRPr="00553707">
        <w:rPr>
          <w:b/>
        </w:rPr>
        <w:t>“</w:t>
      </w:r>
      <w:r w:rsidRPr="00553707">
        <w:rPr>
          <w:b/>
          <w:sz w:val="24"/>
        </w:rPr>
        <w:t>Recoupment” does not begin for 120 days.</w:t>
      </w:r>
      <w:r w:rsidRPr="00553707">
        <w:rPr>
          <w:sz w:val="24"/>
        </w:rPr>
        <w:t xml:space="preserve">  This means </w:t>
      </w:r>
      <w:r w:rsidR="002A7270" w:rsidRPr="00553707">
        <w:rPr>
          <w:sz w:val="24"/>
        </w:rPr>
        <w:t>that:</w:t>
      </w:r>
    </w:p>
    <w:p w14:paraId="0E72588B" w14:textId="77777777" w:rsidR="002A7270" w:rsidRPr="00553707" w:rsidRDefault="001529FA" w:rsidP="007F1F1C">
      <w:pPr>
        <w:pStyle w:val="ListParagraph"/>
        <w:numPr>
          <w:ilvl w:val="1"/>
          <w:numId w:val="9"/>
        </w:numPr>
        <w:rPr>
          <w:sz w:val="24"/>
        </w:rPr>
      </w:pPr>
      <w:r w:rsidRPr="00553707">
        <w:rPr>
          <w:sz w:val="24"/>
        </w:rPr>
        <w:t xml:space="preserve">FQHCs can continue to submit claims as usual after receiving the advance payment, and will receive full payments for their claims during the 120-day delay period. </w:t>
      </w:r>
    </w:p>
    <w:p w14:paraId="53BB9780" w14:textId="77777777" w:rsidR="001529FA" w:rsidRPr="00553707" w:rsidRDefault="001529FA" w:rsidP="007F1F1C">
      <w:pPr>
        <w:pStyle w:val="ListParagraph"/>
        <w:numPr>
          <w:ilvl w:val="1"/>
          <w:numId w:val="9"/>
        </w:numPr>
        <w:rPr>
          <w:sz w:val="24"/>
        </w:rPr>
      </w:pPr>
      <w:r w:rsidRPr="00553707">
        <w:rPr>
          <w:sz w:val="24"/>
        </w:rPr>
        <w:t xml:space="preserve">At the end of the 120-day period, every new claim that the FQHC submits will be offset  from the balance owed </w:t>
      </w:r>
      <w:r w:rsidR="002A7270" w:rsidRPr="00553707">
        <w:rPr>
          <w:sz w:val="24"/>
        </w:rPr>
        <w:t xml:space="preserve">from the </w:t>
      </w:r>
      <w:r w:rsidRPr="00553707">
        <w:rPr>
          <w:sz w:val="24"/>
        </w:rPr>
        <w:t xml:space="preserve">advanced payment. Thus, instead of receiving payment for newly submitted claims, the </w:t>
      </w:r>
      <w:r w:rsidR="002A7270" w:rsidRPr="00553707">
        <w:rPr>
          <w:sz w:val="24"/>
        </w:rPr>
        <w:t xml:space="preserve">FQHC’s </w:t>
      </w:r>
      <w:r w:rsidRPr="00553707">
        <w:rPr>
          <w:sz w:val="24"/>
        </w:rPr>
        <w:t xml:space="preserve">advance balance </w:t>
      </w:r>
      <w:r w:rsidR="002A7270" w:rsidRPr="00553707">
        <w:rPr>
          <w:sz w:val="24"/>
        </w:rPr>
        <w:t xml:space="preserve">will automatically be reduced </w:t>
      </w:r>
      <w:r w:rsidRPr="00553707">
        <w:rPr>
          <w:sz w:val="24"/>
        </w:rPr>
        <w:t xml:space="preserve">by the claim payment amount. </w:t>
      </w:r>
    </w:p>
    <w:p w14:paraId="5EAFDC85" w14:textId="77777777" w:rsidR="002A7270" w:rsidRPr="0044011D" w:rsidRDefault="002A7270" w:rsidP="007F1F1C">
      <w:pPr>
        <w:pStyle w:val="ListParagraph"/>
        <w:numPr>
          <w:ilvl w:val="1"/>
          <w:numId w:val="9"/>
        </w:numPr>
      </w:pPr>
      <w:r w:rsidRPr="00553707">
        <w:rPr>
          <w:sz w:val="24"/>
        </w:rPr>
        <w:t>FQHCs have 90 days (day 121-210) to repay the advanced amount at no interest. Terms are negotiated with the MAC. Any outstanding balance after 210 days of disbursement would be subject to interest.</w:t>
      </w:r>
    </w:p>
    <w:p w14:paraId="1BABBE0C" w14:textId="77777777" w:rsidR="002D5955" w:rsidRPr="0044011D" w:rsidRDefault="002D5955" w:rsidP="007F1F1C">
      <w:pPr>
        <w:rPr>
          <w:rFonts w:eastAsia="Calibri"/>
        </w:rPr>
      </w:pPr>
    </w:p>
    <w:p w14:paraId="26A6A322" w14:textId="77777777" w:rsidR="002D5955" w:rsidRPr="0044011D" w:rsidRDefault="002D5955" w:rsidP="007F1F1C">
      <w:pPr>
        <w:rPr>
          <w:rFonts w:eastAsia="Calibri"/>
        </w:rPr>
      </w:pPr>
      <w:r w:rsidRPr="0044011D">
        <w:rPr>
          <w:rFonts w:eastAsia="Calibri"/>
          <w:i/>
          <w:iCs/>
          <w:u w:val="single"/>
        </w:rPr>
        <w:t>How do I access these benefits?</w:t>
      </w:r>
      <w:r w:rsidRPr="0044011D">
        <w:rPr>
          <w:rFonts w:eastAsia="Calibri"/>
          <w:u w:val="single"/>
        </w:rPr>
        <w:t xml:space="preserve"> </w:t>
      </w:r>
      <w:r w:rsidRPr="0044011D">
        <w:rPr>
          <w:rFonts w:eastAsia="Calibri"/>
        </w:rPr>
        <w:t xml:space="preserve">  Contact your Medicare Administrative Contractor (MAC.)  </w:t>
      </w:r>
    </w:p>
    <w:p w14:paraId="61CD21D9" w14:textId="77777777" w:rsidR="002D5955" w:rsidRPr="0044011D" w:rsidRDefault="002D5955" w:rsidP="007F1F1C">
      <w:pPr>
        <w:rPr>
          <w:rFonts w:eastAsia="Calibri"/>
        </w:rPr>
      </w:pPr>
    </w:p>
    <w:p w14:paraId="15985B26" w14:textId="77777777" w:rsidR="002D5955" w:rsidRDefault="002D5955" w:rsidP="007F1F1C">
      <w:pPr>
        <w:pStyle w:val="NormalWeb"/>
        <w:rPr>
          <w:rStyle w:val="Hyperlink"/>
          <w:b/>
          <w:bCs/>
          <w:i/>
          <w:iCs/>
          <w:color w:val="auto"/>
        </w:rPr>
      </w:pPr>
      <w:r w:rsidRPr="0044011D">
        <w:rPr>
          <w:rFonts w:eastAsia="Calibri"/>
          <w:i/>
          <w:iCs/>
          <w:u w:val="single"/>
        </w:rPr>
        <w:t>Where can I get more information?</w:t>
      </w:r>
      <w:r w:rsidRPr="0044011D">
        <w:rPr>
          <w:rFonts w:eastAsia="Calibri"/>
        </w:rPr>
        <w:t xml:space="preserve">  S</w:t>
      </w:r>
      <w:r w:rsidRPr="0044011D">
        <w:t>ee this </w:t>
      </w:r>
      <w:hyperlink r:id="rId58" w:history="1">
        <w:r w:rsidRPr="0044011D">
          <w:rPr>
            <w:rStyle w:val="Hyperlink"/>
            <w:b/>
            <w:bCs/>
            <w:i/>
            <w:iCs/>
            <w:color w:val="auto"/>
          </w:rPr>
          <w:t>CMS Fact Sheet on advanced payments.</w:t>
        </w:r>
      </w:hyperlink>
    </w:p>
    <w:p w14:paraId="10ED8811" w14:textId="77777777" w:rsidR="0044011D" w:rsidRDefault="0044011D" w:rsidP="007F1F1C">
      <w:pPr>
        <w:pStyle w:val="NormalWeb"/>
        <w:rPr>
          <w:rStyle w:val="Hyperlink"/>
          <w:b/>
          <w:bCs/>
          <w:i/>
          <w:iCs/>
          <w:color w:val="auto"/>
        </w:rPr>
      </w:pPr>
      <w:r>
        <w:rPr>
          <w:rStyle w:val="Hyperlink"/>
          <w:i/>
          <w:iCs/>
          <w:color w:val="auto"/>
        </w:rPr>
        <w:t>How is this working to date?</w:t>
      </w:r>
      <w:r>
        <w:rPr>
          <w:rStyle w:val="Hyperlink"/>
          <w:color w:val="auto"/>
          <w:u w:val="none"/>
        </w:rPr>
        <w:t xml:space="preserve">  As of </w:t>
      </w:r>
      <w:r w:rsidR="00231EA4">
        <w:rPr>
          <w:rStyle w:val="Hyperlink"/>
          <w:color w:val="auto"/>
          <w:u w:val="none"/>
        </w:rPr>
        <w:t>mid-</w:t>
      </w:r>
      <w:r>
        <w:rPr>
          <w:rStyle w:val="Hyperlink"/>
          <w:color w:val="auto"/>
          <w:u w:val="none"/>
        </w:rPr>
        <w:t>April, CMS has dispensed at least $</w:t>
      </w:r>
      <w:r w:rsidR="00231EA4">
        <w:rPr>
          <w:rStyle w:val="Hyperlink"/>
          <w:color w:val="auto"/>
          <w:u w:val="none"/>
        </w:rPr>
        <w:t>50</w:t>
      </w:r>
      <w:r>
        <w:rPr>
          <w:rStyle w:val="Hyperlink"/>
          <w:color w:val="auto"/>
          <w:u w:val="none"/>
        </w:rPr>
        <w:t xml:space="preserve"> billion in advanced Medicare payments.  Some recipients have expressed concerns about the interest rates that will be charged if all advances are not repaid within 210 days.</w:t>
      </w:r>
    </w:p>
    <w:p w14:paraId="03899DB1" w14:textId="77777777" w:rsidR="0044011D" w:rsidRPr="0044011D" w:rsidRDefault="0044011D" w:rsidP="007F1F1C">
      <w:pPr>
        <w:pStyle w:val="NormalWeb"/>
      </w:pPr>
    </w:p>
    <w:p w14:paraId="5173348A" w14:textId="77777777" w:rsidR="002D5955" w:rsidRDefault="002D5955" w:rsidP="007F1F1C">
      <w:pPr>
        <w:rPr>
          <w:rFonts w:eastAsia="Calibri"/>
        </w:rPr>
      </w:pPr>
    </w:p>
    <w:p w14:paraId="4BB37689" w14:textId="77777777" w:rsidR="00B466E4" w:rsidRDefault="00B466E4" w:rsidP="007F1F1C">
      <w:pPr>
        <w:rPr>
          <w:sz w:val="32"/>
          <w:szCs w:val="32"/>
        </w:rPr>
      </w:pPr>
      <w:r>
        <w:br w:type="page"/>
      </w:r>
    </w:p>
    <w:p w14:paraId="3ED74EE5" w14:textId="77777777" w:rsidR="002D5955" w:rsidRPr="00E34C5E" w:rsidRDefault="002D5955" w:rsidP="007F1F1C">
      <w:pPr>
        <w:pStyle w:val="Heading2"/>
      </w:pPr>
      <w:bookmarkStart w:id="54" w:name="_Toc37850342"/>
      <w:bookmarkStart w:id="55" w:name="_Hlk37858656"/>
      <w:r>
        <w:lastRenderedPageBreak/>
        <w:t>Expanded</w:t>
      </w:r>
      <w:r w:rsidRPr="00E34C5E">
        <w:t xml:space="preserve"> Unemployment </w:t>
      </w:r>
      <w:r>
        <w:t>Insurance for Fully or Partially Laid-Off Employees</w:t>
      </w:r>
      <w:bookmarkEnd w:id="54"/>
    </w:p>
    <w:bookmarkEnd w:id="55"/>
    <w:p w14:paraId="64FA7AF6" w14:textId="77777777" w:rsidR="002D5955" w:rsidRPr="00C518DE" w:rsidRDefault="002D5955" w:rsidP="007F1F1C">
      <w:pPr>
        <w:pStyle w:val="NormalWeb"/>
        <w:rPr>
          <w:rFonts w:eastAsia="Calibri"/>
          <w:b/>
          <w:bCs/>
          <w:i/>
          <w:iCs/>
        </w:rPr>
      </w:pPr>
      <w:r w:rsidRPr="00C518DE">
        <w:rPr>
          <w:rFonts w:eastAsia="Calibri"/>
        </w:rPr>
        <w:t xml:space="preserve">Recent legislation grants states more flexibility in paying Unemployment Insurance (UI) to individuals impacted by COVID-19, and nearly </w:t>
      </w:r>
      <w:r w:rsidR="00DD44B3" w:rsidRPr="00C518DE">
        <w:rPr>
          <w:color w:val="2B2B2B"/>
        </w:rPr>
        <w:t>all states</w:t>
      </w:r>
      <w:r w:rsidRPr="00C518DE">
        <w:rPr>
          <w:color w:val="2B2B2B"/>
        </w:rPr>
        <w:t xml:space="preserve"> have issued guidance specifying how they have expanded their UI programs to cover these employees.  However, not all states have expanded UI benefits to the same extent, and there are variations in each state with respect to factors such as furloughs, charge-back rates to employers, and how UI benefits interact with paid leave. </w:t>
      </w:r>
      <w:r w:rsidRPr="00C518DE">
        <w:rPr>
          <w:rFonts w:eastAsia="Calibri"/>
        </w:rPr>
        <w:t>Therefore</w:t>
      </w:r>
      <w:r w:rsidRPr="00C518DE">
        <w:rPr>
          <w:rFonts w:eastAsia="Calibri"/>
          <w:b/>
          <w:bCs/>
          <w:i/>
          <w:iCs/>
        </w:rPr>
        <w:t xml:space="preserve">, it is critical to check with your state Unemployment Insurance (UI) office to determine which benefits apply in your state, and how.  </w:t>
      </w:r>
    </w:p>
    <w:p w14:paraId="784C0C0D" w14:textId="77777777" w:rsidR="002D5955" w:rsidRPr="00C518DE" w:rsidRDefault="002D5955" w:rsidP="007F1F1C">
      <w:pPr>
        <w:rPr>
          <w:color w:val="2B2B2B"/>
        </w:rPr>
      </w:pPr>
      <w:r w:rsidRPr="00C518DE">
        <w:rPr>
          <w:rFonts w:eastAsia="Calibri"/>
          <w:i/>
          <w:iCs/>
          <w:u w:val="single"/>
        </w:rPr>
        <w:t>Which individuals are eligible for the expanded UI benefits due to COVID-19</w:t>
      </w:r>
      <w:r w:rsidR="00231EA4" w:rsidRPr="00C518DE">
        <w:rPr>
          <w:rFonts w:eastAsia="Calibri"/>
          <w:i/>
          <w:iCs/>
          <w:u w:val="single"/>
        </w:rPr>
        <w:t>?</w:t>
      </w:r>
      <w:r w:rsidR="00231EA4" w:rsidRPr="00C518DE">
        <w:rPr>
          <w:rFonts w:eastAsia="Calibri"/>
        </w:rPr>
        <w:t xml:space="preserve">  </w:t>
      </w:r>
      <w:r w:rsidRPr="00C518DE">
        <w:rPr>
          <w:color w:val="2B2B2B"/>
        </w:rPr>
        <w:t>States now have more flexibility in paying UI benefits when:</w:t>
      </w:r>
    </w:p>
    <w:p w14:paraId="18774304" w14:textId="77777777" w:rsidR="002D5955" w:rsidRPr="00C518DE" w:rsidRDefault="002D5955" w:rsidP="007F1F1C">
      <w:pPr>
        <w:pStyle w:val="ListParagraph"/>
        <w:numPr>
          <w:ilvl w:val="0"/>
          <w:numId w:val="20"/>
        </w:numPr>
        <w:rPr>
          <w:sz w:val="24"/>
          <w:szCs w:val="24"/>
        </w:rPr>
      </w:pPr>
      <w:r w:rsidRPr="00C518DE">
        <w:rPr>
          <w:sz w:val="24"/>
          <w:szCs w:val="24"/>
        </w:rPr>
        <w:t>An employer temporarily ceases operations due to COVID-19, preventing employees from working;</w:t>
      </w:r>
    </w:p>
    <w:p w14:paraId="3252A055" w14:textId="77777777" w:rsidR="002D5955" w:rsidRPr="00C518DE" w:rsidRDefault="002D5955" w:rsidP="007F1F1C">
      <w:pPr>
        <w:pStyle w:val="ListParagraph"/>
        <w:numPr>
          <w:ilvl w:val="0"/>
          <w:numId w:val="20"/>
        </w:numPr>
        <w:rPr>
          <w:sz w:val="24"/>
          <w:szCs w:val="24"/>
        </w:rPr>
      </w:pPr>
      <w:r w:rsidRPr="00C518DE">
        <w:rPr>
          <w:sz w:val="24"/>
          <w:szCs w:val="24"/>
        </w:rPr>
        <w:t>An individual is quarantined with the expectation of returning to work after the quarantine is over; and</w:t>
      </w:r>
    </w:p>
    <w:p w14:paraId="26DDB958" w14:textId="77777777" w:rsidR="002D5955" w:rsidRPr="00C518DE" w:rsidRDefault="002D5955" w:rsidP="007F1F1C">
      <w:pPr>
        <w:pStyle w:val="ListParagraph"/>
        <w:numPr>
          <w:ilvl w:val="0"/>
          <w:numId w:val="20"/>
        </w:numPr>
        <w:rPr>
          <w:sz w:val="24"/>
          <w:szCs w:val="24"/>
        </w:rPr>
      </w:pPr>
      <w:r w:rsidRPr="00C518DE">
        <w:rPr>
          <w:sz w:val="24"/>
          <w:szCs w:val="24"/>
        </w:rPr>
        <w:t>An individual leaves employment due to a risk of exposure or infection or to care for a family member.</w:t>
      </w:r>
    </w:p>
    <w:p w14:paraId="231C1DFE" w14:textId="77777777" w:rsidR="002D5955" w:rsidRPr="00C518DE" w:rsidRDefault="002D5955" w:rsidP="007F1F1C">
      <w:pPr>
        <w:rPr>
          <w:rFonts w:eastAsia="Calibri"/>
          <w:i/>
          <w:iCs/>
          <w:u w:val="single"/>
        </w:rPr>
      </w:pPr>
    </w:p>
    <w:p w14:paraId="08B75585" w14:textId="77777777" w:rsidR="002D5955" w:rsidRPr="00C518DE" w:rsidRDefault="002D5955" w:rsidP="007F1F1C">
      <w:r w:rsidRPr="00C518DE">
        <w:rPr>
          <w:rFonts w:eastAsia="Calibri"/>
          <w:i/>
          <w:iCs/>
          <w:u w:val="single"/>
        </w:rPr>
        <w:t>What expanded UI benefits are available nationally to all applicants impacted by COVID-19?</w:t>
      </w:r>
      <w:r w:rsidRPr="00C518DE">
        <w:rPr>
          <w:rFonts w:eastAsia="Calibri"/>
        </w:rPr>
        <w:t xml:space="preserve">  </w:t>
      </w:r>
      <w:r w:rsidRPr="00C518DE">
        <w:t>Eligible individuals will receive:</w:t>
      </w:r>
    </w:p>
    <w:p w14:paraId="7C58844A" w14:textId="77777777" w:rsidR="002D5955" w:rsidRPr="00C518DE" w:rsidRDefault="002D5955" w:rsidP="00C518DE">
      <w:pPr>
        <w:pStyle w:val="ListParagraph"/>
        <w:numPr>
          <w:ilvl w:val="0"/>
          <w:numId w:val="19"/>
        </w:numPr>
        <w:ind w:left="720"/>
        <w:rPr>
          <w:color w:val="333333"/>
          <w:sz w:val="24"/>
          <w:szCs w:val="24"/>
        </w:rPr>
      </w:pPr>
      <w:r w:rsidRPr="00C518DE">
        <w:rPr>
          <w:sz w:val="24"/>
          <w:szCs w:val="24"/>
        </w:rPr>
        <w:t xml:space="preserve">Payment for the first week of approved unemployment, covered fully by the Federal government.  (Most states typically provide no UI payment during the first week.)   </w:t>
      </w:r>
    </w:p>
    <w:p w14:paraId="6AD7F4D4" w14:textId="77777777" w:rsidR="002D5955" w:rsidRPr="00C518DE" w:rsidRDefault="002D5955" w:rsidP="00C518DE">
      <w:pPr>
        <w:pStyle w:val="ListParagraph"/>
        <w:numPr>
          <w:ilvl w:val="0"/>
          <w:numId w:val="19"/>
        </w:numPr>
        <w:ind w:left="720"/>
        <w:rPr>
          <w:sz w:val="24"/>
          <w:szCs w:val="24"/>
        </w:rPr>
      </w:pPr>
      <w:r w:rsidRPr="00C518DE">
        <w:rPr>
          <w:sz w:val="24"/>
          <w:szCs w:val="24"/>
        </w:rPr>
        <w:t xml:space="preserve">An additional $600 per week, on top of ordinary state-authorized weekly benefits, through July 31, 2020.  It is expected that this benefit will be added to all payments issued starting the week of April 12-18 and will be added to all Unemployment Insurance benefit payments for weeks of unemployment beginning Sunday, March 29, 2020 and ending no later than July 31, 2020.  However, states are still waiting for guidance from the US Department of Labor for details.  </w:t>
      </w:r>
    </w:p>
    <w:p w14:paraId="79D86338" w14:textId="77777777" w:rsidR="002D5955" w:rsidRPr="00C518DE" w:rsidRDefault="002D5955" w:rsidP="00C518DE">
      <w:pPr>
        <w:pStyle w:val="ListParagraph"/>
        <w:numPr>
          <w:ilvl w:val="0"/>
          <w:numId w:val="18"/>
        </w:numPr>
        <w:rPr>
          <w:sz w:val="24"/>
          <w:szCs w:val="24"/>
        </w:rPr>
      </w:pPr>
      <w:r w:rsidRPr="00C518DE">
        <w:rPr>
          <w:sz w:val="24"/>
          <w:szCs w:val="24"/>
        </w:rPr>
        <w:t>An additional 13 weeks of pandemic emergency unemployment compensation, if they exhaust their initial 26 weeks, up to a maximum of 39 weeks for the period January 27 through December 31, 2020.  This extension is call “Pandemic Unemployment Emergency Compensation.”</w:t>
      </w:r>
    </w:p>
    <w:p w14:paraId="7D63656F" w14:textId="77777777" w:rsidR="002D5955" w:rsidRPr="00C518DE" w:rsidRDefault="002D5955" w:rsidP="00C518DE">
      <w:pPr>
        <w:pStyle w:val="ListParagraph"/>
        <w:numPr>
          <w:ilvl w:val="0"/>
          <w:numId w:val="18"/>
        </w:numPr>
        <w:rPr>
          <w:sz w:val="24"/>
          <w:szCs w:val="24"/>
        </w:rPr>
      </w:pPr>
      <w:r w:rsidRPr="00C518DE">
        <w:rPr>
          <w:sz w:val="24"/>
          <w:szCs w:val="24"/>
        </w:rPr>
        <w:t xml:space="preserve">Some benefits may be available retroactively.    </w:t>
      </w:r>
    </w:p>
    <w:p w14:paraId="69374A88" w14:textId="77777777" w:rsidR="002D5955" w:rsidRPr="00C518DE" w:rsidRDefault="002D5955" w:rsidP="007F1F1C">
      <w:pPr>
        <w:rPr>
          <w:i/>
          <w:iCs/>
          <w:u w:val="single"/>
        </w:rPr>
      </w:pPr>
      <w:r w:rsidRPr="00C518DE">
        <w:rPr>
          <w:i/>
          <w:iCs/>
          <w:u w:val="single"/>
        </w:rPr>
        <w:t>What expanded UI benefits may be available, based on your state?</w:t>
      </w:r>
    </w:p>
    <w:p w14:paraId="09334350" w14:textId="77777777" w:rsidR="002D5955" w:rsidRPr="00C518DE" w:rsidRDefault="002D5955" w:rsidP="007F1F1C">
      <w:pPr>
        <w:pStyle w:val="ListParagraph"/>
        <w:numPr>
          <w:ilvl w:val="0"/>
          <w:numId w:val="18"/>
        </w:numPr>
        <w:rPr>
          <w:sz w:val="24"/>
          <w:szCs w:val="24"/>
        </w:rPr>
      </w:pPr>
      <w:r w:rsidRPr="00C518DE">
        <w:rPr>
          <w:sz w:val="24"/>
          <w:szCs w:val="24"/>
        </w:rPr>
        <w:t xml:space="preserve">States are encouraged to establish or expand “short-time compensation programs.”  These programs –also known as “work sharing” programs -- provide employees whose hours have been reduced with a pro rata portion of the UI they would have received if fully laid off.  Often, such programs require employers to submit short-time compensation plans to the state for approval before employees are able to take advantage of such a benefit. </w:t>
      </w:r>
    </w:p>
    <w:p w14:paraId="0EAA09DD" w14:textId="77777777" w:rsidR="002D5955" w:rsidRPr="00C518DE" w:rsidRDefault="002D5955" w:rsidP="007F1F1C">
      <w:pPr>
        <w:pStyle w:val="ListParagraph"/>
        <w:numPr>
          <w:ilvl w:val="0"/>
          <w:numId w:val="18"/>
        </w:numPr>
        <w:rPr>
          <w:sz w:val="24"/>
          <w:szCs w:val="24"/>
        </w:rPr>
      </w:pPr>
      <w:r w:rsidRPr="00C518DE">
        <w:rPr>
          <w:sz w:val="24"/>
          <w:szCs w:val="24"/>
        </w:rPr>
        <w:lastRenderedPageBreak/>
        <w:t xml:space="preserve">Many states are now offering UI payments to staff who have been furloughed – fully or partly -- due to COVID-19.  (Typically, UI is restricted to individuals who have been terminated/ laid-off, which is considered more permanent than a furlough.)  </w:t>
      </w:r>
    </w:p>
    <w:p w14:paraId="2C4926CC" w14:textId="77777777" w:rsidR="002D5955" w:rsidRPr="00C518DE" w:rsidRDefault="002D5955" w:rsidP="007F1F1C">
      <w:pPr>
        <w:rPr>
          <w:rStyle w:val="Strong"/>
          <w:b w:val="0"/>
          <w:bCs w:val="0"/>
        </w:rPr>
      </w:pPr>
      <w:r w:rsidRPr="00C518DE">
        <w:rPr>
          <w:rFonts w:eastAsia="Calibri"/>
          <w:i/>
          <w:iCs/>
          <w:u w:val="single"/>
        </w:rPr>
        <w:t>What will this cost?</w:t>
      </w:r>
      <w:r w:rsidR="00231EA4" w:rsidRPr="00C518DE">
        <w:rPr>
          <w:rFonts w:eastAsia="Calibri"/>
        </w:rPr>
        <w:t xml:space="preserve">  </w:t>
      </w:r>
      <w:r w:rsidRPr="00C518DE">
        <w:rPr>
          <w:rStyle w:val="Strong"/>
        </w:rPr>
        <w:t xml:space="preserve">It depends on your state, and also whether your organization pays State Unemployment Taxes (SUTA) or self-insures for unemployment costs.  </w:t>
      </w:r>
    </w:p>
    <w:p w14:paraId="0D622CD7" w14:textId="77777777" w:rsidR="002D5955" w:rsidRPr="00C518DE" w:rsidRDefault="002D5955" w:rsidP="007F1F1C">
      <w:pPr>
        <w:pStyle w:val="NormalWeb"/>
        <w:numPr>
          <w:ilvl w:val="0"/>
          <w:numId w:val="18"/>
        </w:numPr>
      </w:pPr>
      <w:r w:rsidRPr="00C518DE">
        <w:rPr>
          <w:rStyle w:val="Strong"/>
          <w:i/>
          <w:iCs/>
          <w:color w:val="2B2B2B"/>
          <w:bdr w:val="none" w:sz="0" w:space="0" w:color="auto" w:frame="1"/>
        </w:rPr>
        <w:t xml:space="preserve">For employers that pay State Unemployment Taxes (SUTA): </w:t>
      </w:r>
      <w:r w:rsidRPr="00C518DE">
        <w:rPr>
          <w:rStyle w:val="Strong"/>
          <w:color w:val="2B2B2B"/>
          <w:bdr w:val="none" w:sz="0" w:space="0" w:color="auto" w:frame="1"/>
        </w:rPr>
        <w:t xml:space="preserve"> In some states (e.g., DC, IA, ME, VT) </w:t>
      </w:r>
      <w:r w:rsidRPr="00C518DE">
        <w:t>benefits paid for reasons related to COVID-19 will not be charged to an employer’s experience rating – meaning that their UI contributions should not increase. However, other states like Delaware have made clear that they will not exclude COVID-19 claims from employer experience ratings, meaning employers could see an increase in their unemployment tax rate. Many other states have not yet provided any guidance on this issue.</w:t>
      </w:r>
    </w:p>
    <w:p w14:paraId="0A5EE796" w14:textId="77777777" w:rsidR="002D5955" w:rsidRPr="00C518DE" w:rsidRDefault="002D5955" w:rsidP="007F1F1C">
      <w:pPr>
        <w:pStyle w:val="NormalWeb"/>
        <w:numPr>
          <w:ilvl w:val="0"/>
          <w:numId w:val="18"/>
        </w:numPr>
      </w:pPr>
      <w:r w:rsidRPr="00C518DE">
        <w:rPr>
          <w:rStyle w:val="Strong"/>
          <w:i/>
          <w:iCs/>
          <w:color w:val="2B2B2B"/>
          <w:bdr w:val="none" w:sz="0" w:space="0" w:color="auto" w:frame="1"/>
        </w:rPr>
        <w:t>For non-</w:t>
      </w:r>
      <w:r w:rsidRPr="00C518DE">
        <w:rPr>
          <w:b/>
          <w:bCs/>
          <w:i/>
          <w:iCs/>
        </w:rPr>
        <w:t>profit employers that self-insure for unemployment:</w:t>
      </w:r>
      <w:r w:rsidRPr="00C518DE">
        <w:t xml:space="preserve">  These employers will be reimbursed for half of their costs of benefits provided to their laid-off employees.  </w:t>
      </w:r>
    </w:p>
    <w:p w14:paraId="75E710CC" w14:textId="77777777" w:rsidR="002D5955" w:rsidRPr="00C518DE" w:rsidRDefault="002D5955" w:rsidP="007F1F1C">
      <w:pPr>
        <w:pStyle w:val="NormalWeb"/>
      </w:pPr>
      <w:r w:rsidRPr="00C518DE">
        <w:rPr>
          <w:rFonts w:eastAsia="Calibri"/>
        </w:rPr>
        <w:t>Finally, Paycheck Protection loan forgiveness eligibility amounts will be reduced according to reductions in payroll from employees that seek COVID-19-related UI benefits.</w:t>
      </w:r>
    </w:p>
    <w:p w14:paraId="3C7C61DD" w14:textId="77777777" w:rsidR="00DA71AE" w:rsidRPr="00C518DE" w:rsidRDefault="002D5955" w:rsidP="007F1F1C">
      <w:pPr>
        <w:rPr>
          <w:rFonts w:ascii="Calibri" w:eastAsia="Calibri" w:hAnsi="Calibri" w:cs="Calibri"/>
        </w:rPr>
      </w:pPr>
      <w:r w:rsidRPr="00C518DE">
        <w:rPr>
          <w:rFonts w:eastAsia="Calibri"/>
          <w:i/>
          <w:iCs/>
          <w:u w:val="single"/>
        </w:rPr>
        <w:t>How do we learn more about these benefits?</w:t>
      </w:r>
      <w:r w:rsidR="00231EA4" w:rsidRPr="00C518DE">
        <w:rPr>
          <w:rFonts w:eastAsia="Calibri"/>
        </w:rPr>
        <w:t xml:space="preserve">  </w:t>
      </w:r>
      <w:r w:rsidRPr="00C518DE">
        <w:rPr>
          <w:rFonts w:ascii="Calibri" w:eastAsia="Calibri" w:hAnsi="Calibri" w:cs="Calibri"/>
        </w:rPr>
        <w:t xml:space="preserve">Contact your state </w:t>
      </w:r>
      <w:hyperlink r:id="rId59" w:history="1">
        <w:r w:rsidRPr="00C518DE">
          <w:rPr>
            <w:rFonts w:ascii="Calibri" w:eastAsia="Calibri" w:hAnsi="Calibri" w:cs="Calibri"/>
            <w:color w:val="0563C1"/>
            <w:u w:val="single" w:color="0563C1"/>
          </w:rPr>
          <w:t>unemployment office</w:t>
        </w:r>
      </w:hyperlink>
      <w:r w:rsidRPr="00C518DE">
        <w:rPr>
          <w:rFonts w:ascii="Calibri" w:eastAsia="Calibri" w:hAnsi="Calibri" w:cs="Calibri"/>
        </w:rPr>
        <w:t>.</w:t>
      </w:r>
    </w:p>
    <w:p w14:paraId="0AC32997" w14:textId="77777777" w:rsidR="00DA71AE" w:rsidRPr="00C518DE" w:rsidRDefault="00DA71AE" w:rsidP="007F1F1C">
      <w:pPr>
        <w:rPr>
          <w:rFonts w:eastAsia="Calibri"/>
        </w:rPr>
      </w:pPr>
      <w:r w:rsidRPr="00C518DE">
        <w:rPr>
          <w:rFonts w:eastAsia="Calibri"/>
        </w:rPr>
        <w:br w:type="page"/>
      </w:r>
    </w:p>
    <w:p w14:paraId="7C1F3236" w14:textId="77777777" w:rsidR="00F1774A" w:rsidRDefault="00F1774A" w:rsidP="00F1774A">
      <w:pPr>
        <w:pStyle w:val="Heading2"/>
        <w:rPr>
          <w:rFonts w:eastAsia="Calibri"/>
        </w:rPr>
      </w:pPr>
      <w:bookmarkStart w:id="56" w:name="_Toc37850343"/>
      <w:bookmarkStart w:id="57" w:name="_Hlk37858657"/>
      <w:r w:rsidRPr="00A6713B">
        <w:rPr>
          <w:rFonts w:eastAsia="Calibri"/>
        </w:rPr>
        <w:lastRenderedPageBreak/>
        <w:t>FEMA Public Assistance Grants</w:t>
      </w:r>
      <w:bookmarkEnd w:id="56"/>
    </w:p>
    <w:bookmarkEnd w:id="57"/>
    <w:p w14:paraId="53D62FD6" w14:textId="77777777" w:rsidR="00F1774A" w:rsidRDefault="00F1774A" w:rsidP="00F1774A">
      <w:pPr>
        <w:rPr>
          <w:rFonts w:eastAsia="Calibri"/>
        </w:rPr>
      </w:pPr>
    </w:p>
    <w:p w14:paraId="5AF60613" w14:textId="77777777" w:rsidR="00F1774A" w:rsidRDefault="00F1774A" w:rsidP="00F1774A">
      <w:pPr>
        <w:rPr>
          <w:rFonts w:eastAsia="Calibri"/>
        </w:rPr>
      </w:pPr>
      <w:r>
        <w:rPr>
          <w:rFonts w:eastAsia="Calibri"/>
        </w:rPr>
        <w:t>The Stafford Act permits the Federal Emergency Management Agency (FEMA) to provide Federal assistance when the magnitude of an emergency exceeds the ability of state and/or local governments to respond or recover.  This includes grants (called “Public Assistance”) to states, localities, and eligible non-profits including health centers.</w:t>
      </w:r>
    </w:p>
    <w:p w14:paraId="2B53DEDF" w14:textId="77777777" w:rsidR="00F1774A" w:rsidRDefault="00F1774A" w:rsidP="00F1774A">
      <w:pPr>
        <w:rPr>
          <w:rFonts w:eastAsia="Calibri"/>
        </w:rPr>
      </w:pPr>
    </w:p>
    <w:p w14:paraId="4B99CDEE" w14:textId="77777777" w:rsidR="00F1774A" w:rsidRDefault="00F1774A" w:rsidP="00F1774A">
      <w:pPr>
        <w:rPr>
          <w:rFonts w:eastAsia="Calibri"/>
        </w:rPr>
      </w:pPr>
      <w:r w:rsidRPr="00030D5B">
        <w:rPr>
          <w:rFonts w:eastAsia="Calibri"/>
          <w:i/>
          <w:iCs/>
          <w:u w:val="single"/>
        </w:rPr>
        <w:t xml:space="preserve">Who is eligible to </w:t>
      </w:r>
      <w:r>
        <w:rPr>
          <w:rFonts w:eastAsia="Calibri"/>
          <w:i/>
          <w:iCs/>
          <w:u w:val="single"/>
        </w:rPr>
        <w:t>“apply” and/or  “</w:t>
      </w:r>
      <w:r w:rsidRPr="00FC1D7B">
        <w:rPr>
          <w:rFonts w:eastAsia="Calibri"/>
          <w:i/>
          <w:iCs/>
          <w:u w:val="single"/>
        </w:rPr>
        <w:t>rec</w:t>
      </w:r>
      <w:r>
        <w:rPr>
          <w:rFonts w:eastAsia="Calibri"/>
          <w:i/>
          <w:iCs/>
          <w:u w:val="single"/>
        </w:rPr>
        <w:t>eive</w:t>
      </w:r>
      <w:r w:rsidRPr="00FC1D7B">
        <w:rPr>
          <w:rFonts w:eastAsia="Calibri"/>
          <w:i/>
          <w:iCs/>
          <w:u w:val="single"/>
        </w:rPr>
        <w:t>” of apply for FEMA Public Assistance Grants?</w:t>
      </w:r>
      <w:r w:rsidRPr="00FC1D7B">
        <w:rPr>
          <w:rFonts w:eastAsia="Calibri"/>
        </w:rPr>
        <w:t xml:space="preserve">  </w:t>
      </w:r>
      <w:r>
        <w:rPr>
          <w:rFonts w:eastAsia="Calibri"/>
        </w:rPr>
        <w:t xml:space="preserve"> </w:t>
      </w:r>
      <w:r w:rsidRPr="00FC1D7B">
        <w:rPr>
          <w:rFonts w:eastAsia="Calibri"/>
        </w:rPr>
        <w:t>FEMA</w:t>
      </w:r>
      <w:r>
        <w:rPr>
          <w:rFonts w:eastAsia="Calibri"/>
        </w:rPr>
        <w:t xml:space="preserve"> makes</w:t>
      </w:r>
      <w:r w:rsidRPr="00FC1D7B">
        <w:rPr>
          <w:rFonts w:eastAsia="Calibri"/>
        </w:rPr>
        <w:t xml:space="preserve"> an important distinction between an “applicant” and a “recipient” of Public Assistance Grants.  Private non-profit organizations – including health centers – are allowed to </w:t>
      </w:r>
      <w:r w:rsidRPr="00FC1D7B">
        <w:rPr>
          <w:rFonts w:eastAsia="Calibri"/>
          <w:b/>
          <w:bCs/>
          <w:i/>
          <w:iCs/>
        </w:rPr>
        <w:t>apply</w:t>
      </w:r>
      <w:r w:rsidRPr="00FC1D7B">
        <w:rPr>
          <w:rFonts w:eastAsia="Calibri"/>
        </w:rPr>
        <w:t xml:space="preserve"> for FEMA PA funds.  However, only </w:t>
      </w:r>
      <w:r w:rsidRPr="00FC1D7B">
        <w:rPr>
          <w:color w:val="000000"/>
          <w:shd w:val="clear" w:color="auto" w:fill="FFFFFF"/>
        </w:rPr>
        <w:t>states, tribes, or territories are allowed to be “recipients” of these funds,</w:t>
      </w:r>
      <w:r>
        <w:rPr>
          <w:color w:val="000000"/>
          <w:shd w:val="clear" w:color="auto" w:fill="FFFFFF"/>
        </w:rPr>
        <w:t xml:space="preserve"> </w:t>
      </w:r>
      <w:r w:rsidRPr="00FC1D7B">
        <w:rPr>
          <w:color w:val="000000"/>
          <w:shd w:val="clear" w:color="auto" w:fill="FFFFFF"/>
        </w:rPr>
        <w:t>meaning that they that receive and administer Public Assistance awards.</w:t>
      </w:r>
      <w:r w:rsidRPr="00FC1D7B">
        <w:rPr>
          <w:rFonts w:eastAsia="Calibri"/>
        </w:rPr>
        <w:t xml:space="preserve"> </w:t>
      </w:r>
      <w:r>
        <w:rPr>
          <w:rFonts w:eastAsia="Calibri"/>
        </w:rPr>
        <w:t xml:space="preserve"> Thus, the recipient (generally the state) serves as an intermediary between the health center and FEMA.  </w:t>
      </w:r>
    </w:p>
    <w:p w14:paraId="667DF0C9" w14:textId="77777777" w:rsidR="00F1774A" w:rsidRDefault="00F1774A" w:rsidP="00F1774A">
      <w:pPr>
        <w:rPr>
          <w:rFonts w:eastAsia="Calibri"/>
        </w:rPr>
      </w:pPr>
    </w:p>
    <w:p w14:paraId="088B3A3F" w14:textId="77777777" w:rsidR="00F1774A" w:rsidRPr="00ED17ED" w:rsidRDefault="00F1774A" w:rsidP="00F1774A">
      <w:r>
        <w:rPr>
          <w:i/>
          <w:iCs/>
          <w:color w:val="000000"/>
          <w:u w:val="single"/>
          <w:shd w:val="clear" w:color="auto" w:fill="FFFFFF"/>
        </w:rPr>
        <w:t>What costs might be eligible for a FEMA Public Assistance Grant?</w:t>
      </w:r>
      <w:r>
        <w:rPr>
          <w:color w:val="000000"/>
          <w:shd w:val="clear" w:color="auto" w:fill="FFFFFF"/>
        </w:rPr>
        <w:t xml:space="preserve">  FEMA is currently accepting applications for what it calls “Category B work,” which entails emergency protective measures.  The complete list of these measures begins on page 57 of the </w:t>
      </w:r>
      <w:hyperlink r:id="rId60" w:history="1">
        <w:r w:rsidRPr="00ED17ED">
          <w:rPr>
            <w:rStyle w:val="Hyperlink"/>
          </w:rPr>
          <w:t>FEMA's Public Assistance Program and Policy Guide</w:t>
        </w:r>
      </w:hyperlink>
      <w:r w:rsidRPr="00ED17ED">
        <w:t>.  For health centers, the most relevant expenses likely fall under the sub-category of “Medical Care” (see page 63), and include:</w:t>
      </w:r>
    </w:p>
    <w:p w14:paraId="60463397" w14:textId="77777777" w:rsidR="00F1774A" w:rsidRPr="00ED17ED" w:rsidRDefault="00F1774A" w:rsidP="00F1774A">
      <w:pPr>
        <w:pStyle w:val="ListParagraph"/>
        <w:numPr>
          <w:ilvl w:val="0"/>
          <w:numId w:val="36"/>
        </w:numPr>
        <w:spacing w:after="0"/>
        <w:rPr>
          <w:rFonts w:eastAsia="Calibri"/>
          <w:sz w:val="24"/>
          <w:szCs w:val="24"/>
        </w:rPr>
      </w:pPr>
      <w:r w:rsidRPr="00ED17ED">
        <w:rPr>
          <w:sz w:val="24"/>
          <w:szCs w:val="24"/>
        </w:rPr>
        <w:t>Triage and medically necessary tests and diagnosis</w:t>
      </w:r>
    </w:p>
    <w:p w14:paraId="0036043F" w14:textId="77777777" w:rsidR="00F1774A" w:rsidRPr="00ED17ED" w:rsidRDefault="00F1774A" w:rsidP="00F1774A">
      <w:pPr>
        <w:pStyle w:val="ListParagraph"/>
        <w:numPr>
          <w:ilvl w:val="0"/>
          <w:numId w:val="36"/>
        </w:numPr>
        <w:spacing w:after="0"/>
        <w:rPr>
          <w:rFonts w:eastAsia="Calibri"/>
          <w:sz w:val="24"/>
          <w:szCs w:val="24"/>
        </w:rPr>
      </w:pPr>
      <w:r w:rsidRPr="00ED17ED">
        <w:rPr>
          <w:sz w:val="24"/>
          <w:szCs w:val="24"/>
        </w:rPr>
        <w:t>Temporary facilities, such as tents or portable buildings</w:t>
      </w:r>
    </w:p>
    <w:p w14:paraId="334D96F1" w14:textId="77777777" w:rsidR="00F1774A" w:rsidRPr="00E96331" w:rsidRDefault="00F1774A" w:rsidP="00F1774A">
      <w:pPr>
        <w:pStyle w:val="ListParagraph"/>
        <w:numPr>
          <w:ilvl w:val="0"/>
          <w:numId w:val="36"/>
        </w:numPr>
        <w:spacing w:after="0"/>
        <w:rPr>
          <w:rFonts w:eastAsia="Calibri"/>
        </w:rPr>
      </w:pPr>
      <w:r w:rsidRPr="00ED17ED">
        <w:rPr>
          <w:sz w:val="24"/>
          <w:szCs w:val="24"/>
        </w:rPr>
        <w:t>Sheltering services</w:t>
      </w:r>
      <w:r>
        <w:t>.</w:t>
      </w:r>
    </w:p>
    <w:p w14:paraId="42A45BEA" w14:textId="77777777" w:rsidR="00F1774A" w:rsidRDefault="00F1774A" w:rsidP="00F1774A">
      <w:r>
        <w:rPr>
          <w:rFonts w:eastAsia="Calibri"/>
        </w:rPr>
        <w:t xml:space="preserve">Note that </w:t>
      </w:r>
      <w:r>
        <w:t xml:space="preserve">FEMA does not provide PA funding for any costs covered by Medicare, Medicaid, or private insurance.  </w:t>
      </w:r>
    </w:p>
    <w:p w14:paraId="3667095C" w14:textId="77777777" w:rsidR="00F1774A" w:rsidRDefault="00F1774A" w:rsidP="00F1774A"/>
    <w:p w14:paraId="29DED0BC" w14:textId="77777777" w:rsidR="00F1774A" w:rsidRPr="007A3370" w:rsidRDefault="00F1774A" w:rsidP="00F1774A">
      <w:pPr>
        <w:rPr>
          <w:rFonts w:eastAsia="Calibri"/>
        </w:rPr>
      </w:pPr>
      <w:r>
        <w:rPr>
          <w:rFonts w:eastAsia="Calibri"/>
          <w:i/>
          <w:iCs/>
          <w:u w:val="single"/>
        </w:rPr>
        <w:t>How much do FEMA Public Assistance grants cover?</w:t>
      </w:r>
      <w:r>
        <w:rPr>
          <w:rFonts w:eastAsia="Calibri"/>
        </w:rPr>
        <w:t xml:space="preserve">  They can cover up to 75% of eligible costs.  In some circumstances, the “recipient” (generally the state) will provide support towards the remaining 25%.  </w:t>
      </w:r>
    </w:p>
    <w:p w14:paraId="63FA8C9E" w14:textId="77777777" w:rsidR="00F1774A" w:rsidRPr="00FC1D7B" w:rsidRDefault="00F1774A" w:rsidP="00F1774A">
      <w:pPr>
        <w:rPr>
          <w:rFonts w:eastAsia="Calibri"/>
        </w:rPr>
      </w:pPr>
    </w:p>
    <w:p w14:paraId="1DF17ED0" w14:textId="77777777" w:rsidR="00F1774A" w:rsidRPr="00FC1D7B" w:rsidRDefault="00F1774A" w:rsidP="00F1774A">
      <w:pPr>
        <w:rPr>
          <w:color w:val="000000"/>
          <w:shd w:val="clear" w:color="auto" w:fill="FFFFFF"/>
        </w:rPr>
      </w:pPr>
      <w:r w:rsidRPr="00FC1D7B">
        <w:rPr>
          <w:rFonts w:eastAsia="Calibri"/>
          <w:i/>
          <w:iCs/>
          <w:u w:val="single"/>
        </w:rPr>
        <w:t>Is FEMA applying its standard processes to the COVID-19 pandemic?</w:t>
      </w:r>
      <w:r w:rsidRPr="00FC1D7B">
        <w:rPr>
          <w:rFonts w:eastAsia="Calibri"/>
        </w:rPr>
        <w:t xml:space="preserve">  No.  Given the magnitude of this event, FEMA has stated that it is “</w:t>
      </w:r>
      <w:r w:rsidRPr="00FC1D7B">
        <w:rPr>
          <w:color w:val="000000"/>
          <w:shd w:val="clear" w:color="auto" w:fill="FFFFFF"/>
        </w:rPr>
        <w:t>simplifying the Public Assistance application and funding process to… allow local officials to receive eligible funding more quickly.”</w:t>
      </w:r>
      <w:r>
        <w:rPr>
          <w:color w:val="000000"/>
          <w:shd w:val="clear" w:color="auto" w:fill="FFFFFF"/>
        </w:rPr>
        <w:t xml:space="preserve">  Here is </w:t>
      </w:r>
      <w:hyperlink r:id="rId61" w:history="1">
        <w:r>
          <w:rPr>
            <w:rStyle w:val="Hyperlink"/>
          </w:rPr>
          <w:t>more information on the simplified application process</w:t>
        </w:r>
      </w:hyperlink>
      <w:r>
        <w:t>.</w:t>
      </w:r>
    </w:p>
    <w:p w14:paraId="549ABD3D" w14:textId="77777777" w:rsidR="00F1774A" w:rsidRPr="00FC1D7B" w:rsidRDefault="00F1774A" w:rsidP="00F1774A">
      <w:pPr>
        <w:rPr>
          <w:color w:val="000000"/>
          <w:u w:val="single"/>
          <w:shd w:val="clear" w:color="auto" w:fill="FFFFFF"/>
        </w:rPr>
      </w:pPr>
    </w:p>
    <w:p w14:paraId="4F5AB888" w14:textId="77777777" w:rsidR="00F1774A" w:rsidRDefault="00F1774A" w:rsidP="00F1774A">
      <w:pPr>
        <w:rPr>
          <w:color w:val="000000"/>
          <w:shd w:val="clear" w:color="auto" w:fill="FFFFFF"/>
        </w:rPr>
      </w:pPr>
      <w:r w:rsidRPr="00FC1D7B">
        <w:rPr>
          <w:i/>
          <w:iCs/>
          <w:color w:val="000000"/>
          <w:u w:val="single"/>
          <w:shd w:val="clear" w:color="auto" w:fill="FFFFFF"/>
        </w:rPr>
        <w:t>How is FEMA simplifying the PA application process?</w:t>
      </w:r>
      <w:r w:rsidRPr="00FC1D7B">
        <w:rPr>
          <w:i/>
          <w:iCs/>
          <w:color w:val="000000"/>
          <w:shd w:val="clear" w:color="auto" w:fill="FFFFFF"/>
        </w:rPr>
        <w:t xml:space="preserve">  </w:t>
      </w:r>
      <w:r w:rsidRPr="00FC1D7B">
        <w:rPr>
          <w:color w:val="000000"/>
          <w:shd w:val="clear" w:color="auto" w:fill="FFFFFF"/>
        </w:rPr>
        <w:t xml:space="preserve"> </w:t>
      </w:r>
      <w:r>
        <w:rPr>
          <w:color w:val="000000"/>
          <w:shd w:val="clear" w:color="auto" w:fill="FFFFFF"/>
        </w:rPr>
        <w:t xml:space="preserve">Health centers can now apply directly for Public Assistance through an on-line portal (as opposed to the traditional process which required FEMA </w:t>
      </w:r>
      <w:r w:rsidRPr="00890632">
        <w:rPr>
          <w:color w:val="000000"/>
          <w:shd w:val="clear" w:color="auto" w:fill="FFFFFF"/>
        </w:rPr>
        <w:t>to appoint a Program Delivery Manager before applications could be submitted.)  FEMA has developed a simplified online form that applicants can complete, and on which they may explain work activities, answer basic que</w:t>
      </w:r>
      <w:r w:rsidRPr="00FC1D7B">
        <w:rPr>
          <w:color w:val="000000"/>
          <w:shd w:val="clear" w:color="auto" w:fill="FFFFFF"/>
        </w:rPr>
        <w:t>stions, provide limited supporting documentation, and provide a cost estimate. FEMA and the recipient</w:t>
      </w:r>
      <w:r>
        <w:rPr>
          <w:color w:val="000000"/>
          <w:shd w:val="clear" w:color="auto" w:fill="FFFFFF"/>
        </w:rPr>
        <w:t xml:space="preserve"> </w:t>
      </w:r>
      <w:r w:rsidRPr="00FC1D7B">
        <w:rPr>
          <w:color w:val="000000"/>
          <w:shd w:val="clear" w:color="auto" w:fill="FFFFFF"/>
        </w:rPr>
        <w:lastRenderedPageBreak/>
        <w:t>will review this information, follow up with limited requests for additional information if necessary, and award assistance. Recipients will have access to all projects in </w:t>
      </w:r>
      <w:hyperlink r:id="rId62" w:history="1">
        <w:r w:rsidRPr="00FC1D7B">
          <w:rPr>
            <w:rStyle w:val="Hyperlink"/>
            <w:color w:val="005EBD"/>
            <w:shd w:val="clear" w:color="auto" w:fill="FFFFFF"/>
          </w:rPr>
          <w:t>PA Grants Portal</w:t>
        </w:r>
      </w:hyperlink>
      <w:r w:rsidRPr="00FC1D7B">
        <w:rPr>
          <w:color w:val="000000"/>
          <w:shd w:val="clear" w:color="auto" w:fill="FFFFFF"/>
        </w:rPr>
        <w:t>, consistent with the traditional PA process.</w:t>
      </w:r>
    </w:p>
    <w:p w14:paraId="66661E68" w14:textId="77777777" w:rsidR="00F1774A" w:rsidRDefault="00F1774A" w:rsidP="00F1774A">
      <w:pPr>
        <w:rPr>
          <w:color w:val="000000"/>
          <w:shd w:val="clear" w:color="auto" w:fill="FFFFFF"/>
        </w:rPr>
      </w:pPr>
    </w:p>
    <w:p w14:paraId="76A97649" w14:textId="77777777" w:rsidR="00F1774A" w:rsidRPr="003C0E87" w:rsidRDefault="00F1774A" w:rsidP="00F1774A">
      <w:pPr>
        <w:rPr>
          <w:color w:val="000000"/>
          <w:shd w:val="clear" w:color="auto" w:fill="FFFFFF"/>
        </w:rPr>
      </w:pPr>
      <w:r>
        <w:rPr>
          <w:i/>
          <w:iCs/>
          <w:color w:val="000000"/>
          <w:u w:val="single"/>
          <w:shd w:val="clear" w:color="auto" w:fill="FFFFFF"/>
        </w:rPr>
        <w:t>What are the key steps in the application and funding process?</w:t>
      </w:r>
      <w:r>
        <w:rPr>
          <w:color w:val="000000"/>
          <w:shd w:val="clear" w:color="auto" w:fill="FFFFFF"/>
        </w:rPr>
        <w:t xml:space="preserve">  FEMA has offered this diagram:  </w:t>
      </w:r>
    </w:p>
    <w:p w14:paraId="5E2BCE0C" w14:textId="77777777" w:rsidR="00F1774A" w:rsidRDefault="00F1774A" w:rsidP="00F1774A">
      <w:pPr>
        <w:rPr>
          <w:color w:val="000000"/>
          <w:shd w:val="clear" w:color="auto" w:fill="FFFFFF"/>
        </w:rPr>
      </w:pPr>
    </w:p>
    <w:p w14:paraId="518C8231" w14:textId="77777777" w:rsidR="00F1774A" w:rsidRPr="007A3370" w:rsidRDefault="00F1774A" w:rsidP="00F1774A">
      <w:pPr>
        <w:rPr>
          <w:color w:val="000000"/>
          <w:shd w:val="clear" w:color="auto" w:fill="FFFFFF"/>
        </w:rPr>
      </w:pPr>
      <w:r>
        <w:rPr>
          <w:noProof/>
        </w:rPr>
        <w:drawing>
          <wp:inline distT="0" distB="0" distL="0" distR="0" wp14:anchorId="735DFC04" wp14:editId="779A0D60">
            <wp:extent cx="8229600" cy="1133475"/>
            <wp:effectExtent l="0" t="0" r="0" b="9525"/>
            <wp:docPr id="2" name="Picture 2" descr="COVID-19 Public Assistance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ID-19 Public Assistance Graphic"/>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8229600" cy="1133475"/>
                    </a:xfrm>
                    <a:prstGeom prst="rect">
                      <a:avLst/>
                    </a:prstGeom>
                    <a:noFill/>
                    <a:ln>
                      <a:noFill/>
                    </a:ln>
                  </pic:spPr>
                </pic:pic>
              </a:graphicData>
            </a:graphic>
          </wp:inline>
        </w:drawing>
      </w:r>
    </w:p>
    <w:p w14:paraId="166B77DB" w14:textId="77777777" w:rsidR="00F1774A" w:rsidRDefault="00F1774A" w:rsidP="00F1774A">
      <w:pPr>
        <w:rPr>
          <w:color w:val="000000"/>
          <w:shd w:val="clear" w:color="auto" w:fill="FFFFFF"/>
        </w:rPr>
      </w:pPr>
    </w:p>
    <w:p w14:paraId="33E1CF2C" w14:textId="77777777" w:rsidR="00F1774A" w:rsidRDefault="00F1774A" w:rsidP="00F1774A">
      <w:pPr>
        <w:rPr>
          <w:color w:val="000000"/>
          <w:shd w:val="clear" w:color="auto" w:fill="FFFFFF"/>
        </w:rPr>
      </w:pPr>
      <w:r>
        <w:rPr>
          <w:color w:val="000000"/>
          <w:shd w:val="clear" w:color="auto" w:fill="FFFFFF"/>
        </w:rPr>
        <w:t>(“RPA” means “Request for Public Assistance” – in other words, the application.)</w:t>
      </w:r>
    </w:p>
    <w:p w14:paraId="78D590D0" w14:textId="77777777" w:rsidR="00F1774A" w:rsidRDefault="00F1774A" w:rsidP="00F1774A">
      <w:pPr>
        <w:rPr>
          <w:i/>
          <w:iCs/>
          <w:u w:val="single"/>
        </w:rPr>
      </w:pPr>
    </w:p>
    <w:p w14:paraId="342186DB" w14:textId="77777777" w:rsidR="00F1774A" w:rsidRDefault="00F1774A" w:rsidP="00F1774A">
      <w:r>
        <w:rPr>
          <w:i/>
          <w:iCs/>
          <w:u w:val="single"/>
        </w:rPr>
        <w:t>How do we apply?</w:t>
      </w:r>
      <w:r>
        <w:t xml:space="preserve">  These links will take you to </w:t>
      </w:r>
      <w:hyperlink r:id="rId64" w:history="1">
        <w:r>
          <w:rPr>
            <w:rStyle w:val="Hyperlink"/>
          </w:rPr>
          <w:t>general information</w:t>
        </w:r>
      </w:hyperlink>
      <w:r>
        <w:t xml:space="preserve"> on the application process, and the </w:t>
      </w:r>
      <w:hyperlink r:id="rId65" w:history="1">
        <w:r>
          <w:rPr>
            <w:rStyle w:val="Hyperlink"/>
          </w:rPr>
          <w:t>application portal</w:t>
        </w:r>
      </w:hyperlink>
      <w:r>
        <w:t>.</w:t>
      </w:r>
    </w:p>
    <w:p w14:paraId="053F4CD0" w14:textId="77777777" w:rsidR="00F1774A" w:rsidRPr="00DE27B6" w:rsidRDefault="00F1774A" w:rsidP="00F1774A">
      <w:pPr>
        <w:rPr>
          <w:u w:val="single"/>
        </w:rPr>
      </w:pPr>
      <w:r w:rsidRPr="00DE27B6">
        <w:rPr>
          <w:u w:val="single"/>
        </w:rPr>
        <w:t xml:space="preserve"> </w:t>
      </w:r>
    </w:p>
    <w:p w14:paraId="68728573" w14:textId="77777777" w:rsidR="00F1774A" w:rsidRDefault="00F1774A" w:rsidP="00F1774A">
      <w:r>
        <w:rPr>
          <w:i/>
          <w:iCs/>
          <w:u w:val="single"/>
        </w:rPr>
        <w:t>Where can we get more information?</w:t>
      </w:r>
      <w:r>
        <w:rPr>
          <w:i/>
          <w:iCs/>
        </w:rPr>
        <w:t xml:space="preserve">  </w:t>
      </w:r>
      <w:r>
        <w:t xml:space="preserve"> </w:t>
      </w:r>
      <w:hyperlink r:id="rId66" w:history="1">
        <w:r>
          <w:rPr>
            <w:rStyle w:val="Hyperlink"/>
          </w:rPr>
          <w:t>FEMA's Public Assistance Program and Policy Guide</w:t>
        </w:r>
      </w:hyperlink>
      <w:r>
        <w:t xml:space="preserve"> provides detailed information on the types of expenses that are potentially reimbursable.  (Note that, as discussed above, the application process outlined in this document has been simplified for purposes of the COVID-19 pandemic.)  </w:t>
      </w:r>
    </w:p>
    <w:p w14:paraId="0C768E55" w14:textId="77777777" w:rsidR="00F1774A" w:rsidRDefault="00F1774A" w:rsidP="00F1774A"/>
    <w:p w14:paraId="3B3F0887" w14:textId="77777777" w:rsidR="00F1774A" w:rsidRPr="00ED17ED" w:rsidRDefault="00F1774A" w:rsidP="00F1774A">
      <w:r>
        <w:rPr>
          <w:i/>
          <w:iCs/>
          <w:u w:val="single"/>
        </w:rPr>
        <w:t>What has been health centers’ experiences to date with applying for FEMA Public Assistance for costs related to COVID-19?</w:t>
      </w:r>
      <w:r>
        <w:rPr>
          <w:b/>
          <w:bCs/>
          <w:i/>
          <w:iCs/>
        </w:rPr>
        <w:t xml:space="preserve">  </w:t>
      </w:r>
      <w:r>
        <w:t xml:space="preserve"> NACHC is not currently aware of any health centers that have applied for FEMA Public Assistance funding related to the pandemic.  Please contact </w:t>
      </w:r>
      <w:hyperlink r:id="rId67" w:history="1">
        <w:r w:rsidRPr="00015236">
          <w:rPr>
            <w:rStyle w:val="Hyperlink"/>
          </w:rPr>
          <w:t>cmeiman@nachc.org</w:t>
        </w:r>
      </w:hyperlink>
      <w:r>
        <w:t xml:space="preserve"> if you have an experience that you would be willing to share.  </w:t>
      </w:r>
    </w:p>
    <w:p w14:paraId="7C36FEFA" w14:textId="77777777" w:rsidR="00843BDF" w:rsidRDefault="00843BDF" w:rsidP="00F1774A">
      <w:pPr>
        <w:pStyle w:val="Heading2"/>
      </w:pPr>
    </w:p>
    <w:sectPr w:rsidR="00843BDF" w:rsidSect="00D42A07">
      <w:footerReference w:type="default" r:id="rId68"/>
      <w:pgSz w:w="15840" w:h="12240" w:orient="landscape"/>
      <w:pgMar w:top="810" w:right="1440" w:bottom="1440" w:left="1440" w:header="706" w:footer="706"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7CF007" w14:textId="77777777" w:rsidR="00853E31" w:rsidRDefault="00853E31" w:rsidP="007F1F1C">
      <w:r>
        <w:separator/>
      </w:r>
    </w:p>
  </w:endnote>
  <w:endnote w:type="continuationSeparator" w:id="0">
    <w:p w14:paraId="3BE2C9D2" w14:textId="77777777" w:rsidR="00853E31" w:rsidRDefault="00853E31" w:rsidP="007F1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7482119"/>
      <w:docPartObj>
        <w:docPartGallery w:val="Page Numbers (Bottom of Page)"/>
        <w:docPartUnique/>
      </w:docPartObj>
    </w:sdtPr>
    <w:sdtEndPr>
      <w:rPr>
        <w:noProof/>
      </w:rPr>
    </w:sdtEndPr>
    <w:sdtContent>
      <w:p w14:paraId="5B49008C" w14:textId="77777777" w:rsidR="00ED4554" w:rsidRDefault="00ED4554">
        <w:pPr>
          <w:pStyle w:val="Footer"/>
          <w:jc w:val="center"/>
        </w:pPr>
        <w:r>
          <w:fldChar w:fldCharType="begin"/>
        </w:r>
        <w:r>
          <w:instrText xml:space="preserve"> PAGE   \* MERGEFORMAT </w:instrText>
        </w:r>
        <w:r>
          <w:fldChar w:fldCharType="separate"/>
        </w:r>
        <w:r>
          <w:rPr>
            <w:noProof/>
          </w:rPr>
          <w:t>27</w:t>
        </w:r>
        <w:r>
          <w:rPr>
            <w:noProof/>
          </w:rPr>
          <w:fldChar w:fldCharType="end"/>
        </w:r>
      </w:p>
    </w:sdtContent>
  </w:sdt>
  <w:p w14:paraId="1AA6EDF4" w14:textId="77777777" w:rsidR="00ED4554" w:rsidRDefault="00ED4554" w:rsidP="007F1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85863E" w14:textId="77777777" w:rsidR="00853E31" w:rsidRDefault="00853E31" w:rsidP="007F1F1C">
      <w:r>
        <w:separator/>
      </w:r>
    </w:p>
  </w:footnote>
  <w:footnote w:type="continuationSeparator" w:id="0">
    <w:p w14:paraId="754AAB11" w14:textId="77777777" w:rsidR="00853E31" w:rsidRDefault="00853E31" w:rsidP="007F1F1C">
      <w:r>
        <w:continuationSeparator/>
      </w:r>
    </w:p>
  </w:footnote>
  <w:footnote w:id="1">
    <w:p w14:paraId="3C99CF6E" w14:textId="77777777" w:rsidR="00ED4554" w:rsidRDefault="00ED4554" w:rsidP="007F1F1C">
      <w:pPr>
        <w:rPr>
          <w:rFonts w:eastAsia="Calibri"/>
          <w:color w:val="000000"/>
          <w:vertAlign w:val="superscript"/>
        </w:rPr>
      </w:pPr>
      <w:r>
        <w:rPr>
          <w:rStyle w:val="FootnoteReference"/>
          <w:rFonts w:eastAsia="Calibri"/>
          <w:color w:val="000000"/>
          <w:sz w:val="20"/>
          <w:szCs w:val="20"/>
        </w:rPr>
        <w:footnoteRef/>
      </w:r>
      <w:r>
        <w:rPr>
          <w:rFonts w:eastAsia="Calibri"/>
        </w:rPr>
        <w:t xml:space="preserve">  Under the CARES Act, the term ‘employee’ includes individuals employed on a full-time, part-time, or other basis. It is not by FTE. </w:t>
      </w:r>
    </w:p>
  </w:footnote>
  <w:footnote w:id="2">
    <w:p w14:paraId="73B77D2F" w14:textId="77777777" w:rsidR="00ED4554" w:rsidRPr="003C30E5" w:rsidRDefault="00ED4554" w:rsidP="007F1F1C">
      <w:pPr>
        <w:pStyle w:val="FootnoteText"/>
      </w:pPr>
      <w:r w:rsidRPr="003C30E5">
        <w:rPr>
          <w:rStyle w:val="FootnoteReference"/>
          <w:rFonts w:eastAsia="Calibri"/>
        </w:rPr>
        <w:footnoteRef/>
      </w:r>
      <w:r w:rsidRPr="003C30E5">
        <w:t xml:space="preserve"> Note that while </w:t>
      </w:r>
      <w:r>
        <w:t>funds</w:t>
      </w:r>
      <w:r w:rsidRPr="003C30E5">
        <w:t xml:space="preserve"> used to pay </w:t>
      </w:r>
      <w:r w:rsidRPr="00561313">
        <w:rPr>
          <w:i/>
          <w:iCs/>
        </w:rPr>
        <w:t>interest</w:t>
      </w:r>
      <w:r w:rsidRPr="003C30E5">
        <w:t xml:space="preserve"> on a mortgage can be forgiven, </w:t>
      </w:r>
      <w:r>
        <w:t xml:space="preserve">funds </w:t>
      </w:r>
      <w:r w:rsidRPr="003C30E5">
        <w:t xml:space="preserve">used to pay mortgage </w:t>
      </w:r>
      <w:r w:rsidRPr="00561313">
        <w:rPr>
          <w:i/>
          <w:iCs/>
        </w:rPr>
        <w:t xml:space="preserve">principal </w:t>
      </w:r>
      <w:r w:rsidRPr="003C30E5">
        <w:t>cannot.</w:t>
      </w:r>
    </w:p>
  </w:footnote>
  <w:footnote w:id="3">
    <w:p w14:paraId="614A6630" w14:textId="77777777" w:rsidR="00ED4554" w:rsidRDefault="00ED4554" w:rsidP="007F1F1C">
      <w:pPr>
        <w:rPr>
          <w:color w:val="000000"/>
          <w:vertAlign w:val="superscript"/>
        </w:rPr>
      </w:pPr>
      <w:r>
        <w:rPr>
          <w:rStyle w:val="FootnoteReference"/>
          <w:color w:val="000000"/>
          <w:sz w:val="20"/>
          <w:szCs w:val="20"/>
        </w:rPr>
        <w:footnoteRef/>
      </w:r>
      <w:r>
        <w:t xml:space="preserve"> </w:t>
      </w:r>
      <w:r>
        <w:rPr>
          <w:rFonts w:eastAsia="Calibri"/>
        </w:rPr>
        <w:t>Under the CARES and FFCRA , the term ‘employee’ includes individuals employed on a full-time, part-time, or other basis. It is not by FTE.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484A942C">
      <w:start w:val="1"/>
      <w:numFmt w:val="bullet"/>
      <w:lvlText w:val=""/>
      <w:lvlJc w:val="left"/>
      <w:pPr>
        <w:ind w:left="720" w:hanging="360"/>
      </w:pPr>
      <w:rPr>
        <w:rFonts w:ascii="Symbol" w:hAnsi="Symbol"/>
        <w:b w:val="0"/>
        <w:bCs w:val="0"/>
      </w:rPr>
    </w:lvl>
    <w:lvl w:ilvl="1" w:tplc="D17AAF94">
      <w:start w:val="1"/>
      <w:numFmt w:val="bullet"/>
      <w:lvlText w:val="o"/>
      <w:lvlJc w:val="left"/>
      <w:pPr>
        <w:tabs>
          <w:tab w:val="num" w:pos="1440"/>
        </w:tabs>
        <w:ind w:left="1440" w:hanging="360"/>
      </w:pPr>
      <w:rPr>
        <w:rFonts w:ascii="Courier New" w:hAnsi="Courier New"/>
      </w:rPr>
    </w:lvl>
    <w:lvl w:ilvl="2" w:tplc="5EB4BAAA">
      <w:start w:val="1"/>
      <w:numFmt w:val="bullet"/>
      <w:lvlText w:val=""/>
      <w:lvlJc w:val="left"/>
      <w:pPr>
        <w:tabs>
          <w:tab w:val="num" w:pos="2160"/>
        </w:tabs>
        <w:ind w:left="2160" w:hanging="360"/>
      </w:pPr>
      <w:rPr>
        <w:rFonts w:ascii="Wingdings" w:hAnsi="Wingdings"/>
      </w:rPr>
    </w:lvl>
    <w:lvl w:ilvl="3" w:tplc="859C2704">
      <w:start w:val="1"/>
      <w:numFmt w:val="bullet"/>
      <w:lvlText w:val=""/>
      <w:lvlJc w:val="left"/>
      <w:pPr>
        <w:tabs>
          <w:tab w:val="num" w:pos="2880"/>
        </w:tabs>
        <w:ind w:left="2880" w:hanging="360"/>
      </w:pPr>
      <w:rPr>
        <w:rFonts w:ascii="Symbol" w:hAnsi="Symbol"/>
      </w:rPr>
    </w:lvl>
    <w:lvl w:ilvl="4" w:tplc="3C70E39E">
      <w:start w:val="1"/>
      <w:numFmt w:val="bullet"/>
      <w:lvlText w:val="o"/>
      <w:lvlJc w:val="left"/>
      <w:pPr>
        <w:tabs>
          <w:tab w:val="num" w:pos="3600"/>
        </w:tabs>
        <w:ind w:left="3600" w:hanging="360"/>
      </w:pPr>
      <w:rPr>
        <w:rFonts w:ascii="Courier New" w:hAnsi="Courier New"/>
      </w:rPr>
    </w:lvl>
    <w:lvl w:ilvl="5" w:tplc="A61E7BB8">
      <w:start w:val="1"/>
      <w:numFmt w:val="bullet"/>
      <w:lvlText w:val=""/>
      <w:lvlJc w:val="left"/>
      <w:pPr>
        <w:tabs>
          <w:tab w:val="num" w:pos="4320"/>
        </w:tabs>
        <w:ind w:left="4320" w:hanging="360"/>
      </w:pPr>
      <w:rPr>
        <w:rFonts w:ascii="Wingdings" w:hAnsi="Wingdings"/>
      </w:rPr>
    </w:lvl>
    <w:lvl w:ilvl="6" w:tplc="C3CC0500">
      <w:start w:val="1"/>
      <w:numFmt w:val="bullet"/>
      <w:lvlText w:val=""/>
      <w:lvlJc w:val="left"/>
      <w:pPr>
        <w:tabs>
          <w:tab w:val="num" w:pos="5040"/>
        </w:tabs>
        <w:ind w:left="5040" w:hanging="360"/>
      </w:pPr>
      <w:rPr>
        <w:rFonts w:ascii="Symbol" w:hAnsi="Symbol"/>
      </w:rPr>
    </w:lvl>
    <w:lvl w:ilvl="7" w:tplc="415E1424">
      <w:start w:val="1"/>
      <w:numFmt w:val="bullet"/>
      <w:lvlText w:val="o"/>
      <w:lvlJc w:val="left"/>
      <w:pPr>
        <w:tabs>
          <w:tab w:val="num" w:pos="5760"/>
        </w:tabs>
        <w:ind w:left="5760" w:hanging="360"/>
      </w:pPr>
      <w:rPr>
        <w:rFonts w:ascii="Courier New" w:hAnsi="Courier New"/>
      </w:rPr>
    </w:lvl>
    <w:lvl w:ilvl="8" w:tplc="2FB83636">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1E889B8C">
      <w:start w:val="1"/>
      <w:numFmt w:val="bullet"/>
      <w:lvlText w:val=""/>
      <w:lvlJc w:val="left"/>
      <w:pPr>
        <w:ind w:left="720" w:hanging="360"/>
      </w:pPr>
      <w:rPr>
        <w:rFonts w:ascii="Symbol" w:hAnsi="Symbol"/>
        <w:b w:val="0"/>
        <w:bCs w:val="0"/>
      </w:rPr>
    </w:lvl>
    <w:lvl w:ilvl="1" w:tplc="BBE00806">
      <w:start w:val="1"/>
      <w:numFmt w:val="bullet"/>
      <w:lvlText w:val="o"/>
      <w:lvlJc w:val="left"/>
      <w:pPr>
        <w:tabs>
          <w:tab w:val="num" w:pos="1440"/>
        </w:tabs>
        <w:ind w:left="1440" w:hanging="360"/>
      </w:pPr>
      <w:rPr>
        <w:rFonts w:ascii="Courier New" w:hAnsi="Courier New"/>
      </w:rPr>
    </w:lvl>
    <w:lvl w:ilvl="2" w:tplc="50A2D64C">
      <w:start w:val="1"/>
      <w:numFmt w:val="bullet"/>
      <w:lvlText w:val=""/>
      <w:lvlJc w:val="left"/>
      <w:pPr>
        <w:tabs>
          <w:tab w:val="num" w:pos="2160"/>
        </w:tabs>
        <w:ind w:left="2160" w:hanging="360"/>
      </w:pPr>
      <w:rPr>
        <w:rFonts w:ascii="Wingdings" w:hAnsi="Wingdings"/>
      </w:rPr>
    </w:lvl>
    <w:lvl w:ilvl="3" w:tplc="C5D884CA">
      <w:start w:val="1"/>
      <w:numFmt w:val="bullet"/>
      <w:lvlText w:val=""/>
      <w:lvlJc w:val="left"/>
      <w:pPr>
        <w:tabs>
          <w:tab w:val="num" w:pos="2880"/>
        </w:tabs>
        <w:ind w:left="2880" w:hanging="360"/>
      </w:pPr>
      <w:rPr>
        <w:rFonts w:ascii="Symbol" w:hAnsi="Symbol"/>
      </w:rPr>
    </w:lvl>
    <w:lvl w:ilvl="4" w:tplc="E1C6F440">
      <w:start w:val="1"/>
      <w:numFmt w:val="bullet"/>
      <w:lvlText w:val="o"/>
      <w:lvlJc w:val="left"/>
      <w:pPr>
        <w:tabs>
          <w:tab w:val="num" w:pos="3600"/>
        </w:tabs>
        <w:ind w:left="3600" w:hanging="360"/>
      </w:pPr>
      <w:rPr>
        <w:rFonts w:ascii="Courier New" w:hAnsi="Courier New"/>
      </w:rPr>
    </w:lvl>
    <w:lvl w:ilvl="5" w:tplc="D01C7110">
      <w:start w:val="1"/>
      <w:numFmt w:val="bullet"/>
      <w:lvlText w:val=""/>
      <w:lvlJc w:val="left"/>
      <w:pPr>
        <w:tabs>
          <w:tab w:val="num" w:pos="4320"/>
        </w:tabs>
        <w:ind w:left="4320" w:hanging="360"/>
      </w:pPr>
      <w:rPr>
        <w:rFonts w:ascii="Wingdings" w:hAnsi="Wingdings"/>
      </w:rPr>
    </w:lvl>
    <w:lvl w:ilvl="6" w:tplc="F95CE2F4">
      <w:start w:val="1"/>
      <w:numFmt w:val="bullet"/>
      <w:lvlText w:val=""/>
      <w:lvlJc w:val="left"/>
      <w:pPr>
        <w:tabs>
          <w:tab w:val="num" w:pos="5040"/>
        </w:tabs>
        <w:ind w:left="5040" w:hanging="360"/>
      </w:pPr>
      <w:rPr>
        <w:rFonts w:ascii="Symbol" w:hAnsi="Symbol"/>
      </w:rPr>
    </w:lvl>
    <w:lvl w:ilvl="7" w:tplc="4E6E6442">
      <w:start w:val="1"/>
      <w:numFmt w:val="bullet"/>
      <w:lvlText w:val="o"/>
      <w:lvlJc w:val="left"/>
      <w:pPr>
        <w:tabs>
          <w:tab w:val="num" w:pos="5760"/>
        </w:tabs>
        <w:ind w:left="5760" w:hanging="360"/>
      </w:pPr>
      <w:rPr>
        <w:rFonts w:ascii="Courier New" w:hAnsi="Courier New"/>
      </w:rPr>
    </w:lvl>
    <w:lvl w:ilvl="8" w:tplc="BFC45C60">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B06A5B96">
      <w:start w:val="1"/>
      <w:numFmt w:val="bullet"/>
      <w:lvlText w:val=""/>
      <w:lvlJc w:val="left"/>
      <w:pPr>
        <w:ind w:left="720" w:hanging="360"/>
      </w:pPr>
      <w:rPr>
        <w:rFonts w:ascii="Symbol" w:hAnsi="Symbol"/>
        <w:b w:val="0"/>
        <w:bCs w:val="0"/>
      </w:rPr>
    </w:lvl>
    <w:lvl w:ilvl="1" w:tplc="1158A486">
      <w:start w:val="1"/>
      <w:numFmt w:val="bullet"/>
      <w:lvlText w:val="o"/>
      <w:lvlJc w:val="left"/>
      <w:pPr>
        <w:tabs>
          <w:tab w:val="num" w:pos="1440"/>
        </w:tabs>
        <w:ind w:left="1440" w:hanging="360"/>
      </w:pPr>
      <w:rPr>
        <w:rFonts w:ascii="Courier New" w:hAnsi="Courier New"/>
      </w:rPr>
    </w:lvl>
    <w:lvl w:ilvl="2" w:tplc="40FEAF08">
      <w:start w:val="1"/>
      <w:numFmt w:val="bullet"/>
      <w:lvlText w:val=""/>
      <w:lvlJc w:val="left"/>
      <w:pPr>
        <w:tabs>
          <w:tab w:val="num" w:pos="2160"/>
        </w:tabs>
        <w:ind w:left="2160" w:hanging="360"/>
      </w:pPr>
      <w:rPr>
        <w:rFonts w:ascii="Wingdings" w:hAnsi="Wingdings"/>
      </w:rPr>
    </w:lvl>
    <w:lvl w:ilvl="3" w:tplc="3C26F45E">
      <w:start w:val="1"/>
      <w:numFmt w:val="bullet"/>
      <w:lvlText w:val=""/>
      <w:lvlJc w:val="left"/>
      <w:pPr>
        <w:tabs>
          <w:tab w:val="num" w:pos="2880"/>
        </w:tabs>
        <w:ind w:left="2880" w:hanging="360"/>
      </w:pPr>
      <w:rPr>
        <w:rFonts w:ascii="Symbol" w:hAnsi="Symbol"/>
      </w:rPr>
    </w:lvl>
    <w:lvl w:ilvl="4" w:tplc="45E02522">
      <w:start w:val="1"/>
      <w:numFmt w:val="bullet"/>
      <w:lvlText w:val="o"/>
      <w:lvlJc w:val="left"/>
      <w:pPr>
        <w:tabs>
          <w:tab w:val="num" w:pos="3600"/>
        </w:tabs>
        <w:ind w:left="3600" w:hanging="360"/>
      </w:pPr>
      <w:rPr>
        <w:rFonts w:ascii="Courier New" w:hAnsi="Courier New"/>
      </w:rPr>
    </w:lvl>
    <w:lvl w:ilvl="5" w:tplc="144023B4">
      <w:start w:val="1"/>
      <w:numFmt w:val="bullet"/>
      <w:lvlText w:val=""/>
      <w:lvlJc w:val="left"/>
      <w:pPr>
        <w:tabs>
          <w:tab w:val="num" w:pos="4320"/>
        </w:tabs>
        <w:ind w:left="4320" w:hanging="360"/>
      </w:pPr>
      <w:rPr>
        <w:rFonts w:ascii="Wingdings" w:hAnsi="Wingdings"/>
      </w:rPr>
    </w:lvl>
    <w:lvl w:ilvl="6" w:tplc="2960A3F8">
      <w:start w:val="1"/>
      <w:numFmt w:val="bullet"/>
      <w:lvlText w:val=""/>
      <w:lvlJc w:val="left"/>
      <w:pPr>
        <w:tabs>
          <w:tab w:val="num" w:pos="5040"/>
        </w:tabs>
        <w:ind w:left="5040" w:hanging="360"/>
      </w:pPr>
      <w:rPr>
        <w:rFonts w:ascii="Symbol" w:hAnsi="Symbol"/>
      </w:rPr>
    </w:lvl>
    <w:lvl w:ilvl="7" w:tplc="DB42FAE4">
      <w:start w:val="1"/>
      <w:numFmt w:val="bullet"/>
      <w:lvlText w:val="o"/>
      <w:lvlJc w:val="left"/>
      <w:pPr>
        <w:tabs>
          <w:tab w:val="num" w:pos="5760"/>
        </w:tabs>
        <w:ind w:left="5760" w:hanging="360"/>
      </w:pPr>
      <w:rPr>
        <w:rFonts w:ascii="Courier New" w:hAnsi="Courier New"/>
      </w:rPr>
    </w:lvl>
    <w:lvl w:ilvl="8" w:tplc="81A66420">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6042385A">
      <w:start w:val="1"/>
      <w:numFmt w:val="bullet"/>
      <w:lvlText w:val=""/>
      <w:lvlJc w:val="left"/>
      <w:pPr>
        <w:ind w:left="720" w:hanging="360"/>
      </w:pPr>
      <w:rPr>
        <w:rFonts w:ascii="Symbol" w:hAnsi="Symbol"/>
        <w:b w:val="0"/>
        <w:bCs w:val="0"/>
      </w:rPr>
    </w:lvl>
    <w:lvl w:ilvl="1" w:tplc="56AEC0A0">
      <w:start w:val="1"/>
      <w:numFmt w:val="bullet"/>
      <w:lvlText w:val="o"/>
      <w:lvlJc w:val="left"/>
      <w:pPr>
        <w:tabs>
          <w:tab w:val="num" w:pos="1440"/>
        </w:tabs>
        <w:ind w:left="1440" w:hanging="360"/>
      </w:pPr>
      <w:rPr>
        <w:rFonts w:ascii="Courier New" w:hAnsi="Courier New"/>
      </w:rPr>
    </w:lvl>
    <w:lvl w:ilvl="2" w:tplc="45145D90">
      <w:start w:val="1"/>
      <w:numFmt w:val="bullet"/>
      <w:lvlText w:val=""/>
      <w:lvlJc w:val="left"/>
      <w:pPr>
        <w:tabs>
          <w:tab w:val="num" w:pos="2160"/>
        </w:tabs>
        <w:ind w:left="2160" w:hanging="360"/>
      </w:pPr>
      <w:rPr>
        <w:rFonts w:ascii="Wingdings" w:hAnsi="Wingdings"/>
      </w:rPr>
    </w:lvl>
    <w:lvl w:ilvl="3" w:tplc="EE001348">
      <w:start w:val="1"/>
      <w:numFmt w:val="bullet"/>
      <w:lvlText w:val=""/>
      <w:lvlJc w:val="left"/>
      <w:pPr>
        <w:tabs>
          <w:tab w:val="num" w:pos="2880"/>
        </w:tabs>
        <w:ind w:left="2880" w:hanging="360"/>
      </w:pPr>
      <w:rPr>
        <w:rFonts w:ascii="Symbol" w:hAnsi="Symbol"/>
      </w:rPr>
    </w:lvl>
    <w:lvl w:ilvl="4" w:tplc="FA8219AE">
      <w:start w:val="1"/>
      <w:numFmt w:val="bullet"/>
      <w:lvlText w:val="o"/>
      <w:lvlJc w:val="left"/>
      <w:pPr>
        <w:tabs>
          <w:tab w:val="num" w:pos="3600"/>
        </w:tabs>
        <w:ind w:left="3600" w:hanging="360"/>
      </w:pPr>
      <w:rPr>
        <w:rFonts w:ascii="Courier New" w:hAnsi="Courier New"/>
      </w:rPr>
    </w:lvl>
    <w:lvl w:ilvl="5" w:tplc="A1ACE84C">
      <w:start w:val="1"/>
      <w:numFmt w:val="bullet"/>
      <w:lvlText w:val=""/>
      <w:lvlJc w:val="left"/>
      <w:pPr>
        <w:tabs>
          <w:tab w:val="num" w:pos="4320"/>
        </w:tabs>
        <w:ind w:left="4320" w:hanging="360"/>
      </w:pPr>
      <w:rPr>
        <w:rFonts w:ascii="Wingdings" w:hAnsi="Wingdings"/>
      </w:rPr>
    </w:lvl>
    <w:lvl w:ilvl="6" w:tplc="5BBEDDCE">
      <w:start w:val="1"/>
      <w:numFmt w:val="bullet"/>
      <w:lvlText w:val=""/>
      <w:lvlJc w:val="left"/>
      <w:pPr>
        <w:tabs>
          <w:tab w:val="num" w:pos="5040"/>
        </w:tabs>
        <w:ind w:left="5040" w:hanging="360"/>
      </w:pPr>
      <w:rPr>
        <w:rFonts w:ascii="Symbol" w:hAnsi="Symbol"/>
      </w:rPr>
    </w:lvl>
    <w:lvl w:ilvl="7" w:tplc="D8F4999C">
      <w:start w:val="1"/>
      <w:numFmt w:val="bullet"/>
      <w:lvlText w:val="o"/>
      <w:lvlJc w:val="left"/>
      <w:pPr>
        <w:tabs>
          <w:tab w:val="num" w:pos="5760"/>
        </w:tabs>
        <w:ind w:left="5760" w:hanging="360"/>
      </w:pPr>
      <w:rPr>
        <w:rFonts w:ascii="Courier New" w:hAnsi="Courier New"/>
      </w:rPr>
    </w:lvl>
    <w:lvl w:ilvl="8" w:tplc="7276997E">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hybridMultilevel"/>
    <w:tmpl w:val="00000005"/>
    <w:lvl w:ilvl="0" w:tplc="00D40484">
      <w:start w:val="1"/>
      <w:numFmt w:val="bullet"/>
      <w:lvlText w:val=""/>
      <w:lvlJc w:val="left"/>
      <w:pPr>
        <w:ind w:left="720" w:hanging="360"/>
      </w:pPr>
      <w:rPr>
        <w:rFonts w:ascii="Symbol" w:hAnsi="Symbol"/>
        <w:b w:val="0"/>
        <w:bCs w:val="0"/>
      </w:rPr>
    </w:lvl>
    <w:lvl w:ilvl="1" w:tplc="9F94676A">
      <w:start w:val="1"/>
      <w:numFmt w:val="bullet"/>
      <w:lvlText w:val="o"/>
      <w:lvlJc w:val="left"/>
      <w:pPr>
        <w:tabs>
          <w:tab w:val="num" w:pos="1440"/>
        </w:tabs>
        <w:ind w:left="1440" w:hanging="360"/>
      </w:pPr>
      <w:rPr>
        <w:rFonts w:ascii="Courier New" w:hAnsi="Courier New"/>
      </w:rPr>
    </w:lvl>
    <w:lvl w:ilvl="2" w:tplc="B02E5A30">
      <w:start w:val="1"/>
      <w:numFmt w:val="bullet"/>
      <w:lvlText w:val=""/>
      <w:lvlJc w:val="left"/>
      <w:pPr>
        <w:tabs>
          <w:tab w:val="num" w:pos="2160"/>
        </w:tabs>
        <w:ind w:left="2160" w:hanging="360"/>
      </w:pPr>
      <w:rPr>
        <w:rFonts w:ascii="Wingdings" w:hAnsi="Wingdings"/>
      </w:rPr>
    </w:lvl>
    <w:lvl w:ilvl="3" w:tplc="382657D4">
      <w:start w:val="1"/>
      <w:numFmt w:val="bullet"/>
      <w:lvlText w:val=""/>
      <w:lvlJc w:val="left"/>
      <w:pPr>
        <w:tabs>
          <w:tab w:val="num" w:pos="2880"/>
        </w:tabs>
        <w:ind w:left="2880" w:hanging="360"/>
      </w:pPr>
      <w:rPr>
        <w:rFonts w:ascii="Symbol" w:hAnsi="Symbol"/>
      </w:rPr>
    </w:lvl>
    <w:lvl w:ilvl="4" w:tplc="CFA6C1EA">
      <w:start w:val="1"/>
      <w:numFmt w:val="bullet"/>
      <w:lvlText w:val="o"/>
      <w:lvlJc w:val="left"/>
      <w:pPr>
        <w:tabs>
          <w:tab w:val="num" w:pos="3600"/>
        </w:tabs>
        <w:ind w:left="3600" w:hanging="360"/>
      </w:pPr>
      <w:rPr>
        <w:rFonts w:ascii="Courier New" w:hAnsi="Courier New"/>
      </w:rPr>
    </w:lvl>
    <w:lvl w:ilvl="5" w:tplc="DAD00408">
      <w:start w:val="1"/>
      <w:numFmt w:val="bullet"/>
      <w:lvlText w:val=""/>
      <w:lvlJc w:val="left"/>
      <w:pPr>
        <w:tabs>
          <w:tab w:val="num" w:pos="4320"/>
        </w:tabs>
        <w:ind w:left="4320" w:hanging="360"/>
      </w:pPr>
      <w:rPr>
        <w:rFonts w:ascii="Wingdings" w:hAnsi="Wingdings"/>
      </w:rPr>
    </w:lvl>
    <w:lvl w:ilvl="6" w:tplc="24E8484E">
      <w:start w:val="1"/>
      <w:numFmt w:val="bullet"/>
      <w:lvlText w:val=""/>
      <w:lvlJc w:val="left"/>
      <w:pPr>
        <w:tabs>
          <w:tab w:val="num" w:pos="5040"/>
        </w:tabs>
        <w:ind w:left="5040" w:hanging="360"/>
      </w:pPr>
      <w:rPr>
        <w:rFonts w:ascii="Symbol" w:hAnsi="Symbol"/>
      </w:rPr>
    </w:lvl>
    <w:lvl w:ilvl="7" w:tplc="6C684F94">
      <w:start w:val="1"/>
      <w:numFmt w:val="bullet"/>
      <w:lvlText w:val="o"/>
      <w:lvlJc w:val="left"/>
      <w:pPr>
        <w:tabs>
          <w:tab w:val="num" w:pos="5760"/>
        </w:tabs>
        <w:ind w:left="5760" w:hanging="360"/>
      </w:pPr>
      <w:rPr>
        <w:rFonts w:ascii="Courier New" w:hAnsi="Courier New"/>
      </w:rPr>
    </w:lvl>
    <w:lvl w:ilvl="8" w:tplc="31FA9078">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hybridMultilevel"/>
    <w:tmpl w:val="00000006"/>
    <w:lvl w:ilvl="0" w:tplc="9752A670">
      <w:start w:val="1"/>
      <w:numFmt w:val="bullet"/>
      <w:lvlText w:val=""/>
      <w:lvlJc w:val="left"/>
      <w:pPr>
        <w:ind w:left="720" w:hanging="360"/>
      </w:pPr>
      <w:rPr>
        <w:rFonts w:ascii="Symbol" w:hAnsi="Symbol"/>
        <w:b w:val="0"/>
        <w:bCs w:val="0"/>
      </w:rPr>
    </w:lvl>
    <w:lvl w:ilvl="1" w:tplc="8EF26650">
      <w:start w:val="1"/>
      <w:numFmt w:val="bullet"/>
      <w:lvlText w:val="o"/>
      <w:lvlJc w:val="left"/>
      <w:pPr>
        <w:tabs>
          <w:tab w:val="num" w:pos="1440"/>
        </w:tabs>
        <w:ind w:left="1440" w:hanging="360"/>
      </w:pPr>
      <w:rPr>
        <w:rFonts w:ascii="Courier New" w:hAnsi="Courier New"/>
      </w:rPr>
    </w:lvl>
    <w:lvl w:ilvl="2" w:tplc="632AA896">
      <w:start w:val="1"/>
      <w:numFmt w:val="bullet"/>
      <w:lvlText w:val=""/>
      <w:lvlJc w:val="left"/>
      <w:pPr>
        <w:tabs>
          <w:tab w:val="num" w:pos="2160"/>
        </w:tabs>
        <w:ind w:left="2160" w:hanging="360"/>
      </w:pPr>
      <w:rPr>
        <w:rFonts w:ascii="Wingdings" w:hAnsi="Wingdings"/>
      </w:rPr>
    </w:lvl>
    <w:lvl w:ilvl="3" w:tplc="1834F3E6">
      <w:start w:val="1"/>
      <w:numFmt w:val="bullet"/>
      <w:lvlText w:val=""/>
      <w:lvlJc w:val="left"/>
      <w:pPr>
        <w:tabs>
          <w:tab w:val="num" w:pos="2880"/>
        </w:tabs>
        <w:ind w:left="2880" w:hanging="360"/>
      </w:pPr>
      <w:rPr>
        <w:rFonts w:ascii="Symbol" w:hAnsi="Symbol"/>
      </w:rPr>
    </w:lvl>
    <w:lvl w:ilvl="4" w:tplc="6C1A8172">
      <w:start w:val="1"/>
      <w:numFmt w:val="bullet"/>
      <w:lvlText w:val="o"/>
      <w:lvlJc w:val="left"/>
      <w:pPr>
        <w:tabs>
          <w:tab w:val="num" w:pos="3600"/>
        </w:tabs>
        <w:ind w:left="3600" w:hanging="360"/>
      </w:pPr>
      <w:rPr>
        <w:rFonts w:ascii="Courier New" w:hAnsi="Courier New"/>
      </w:rPr>
    </w:lvl>
    <w:lvl w:ilvl="5" w:tplc="5C8AAABA">
      <w:start w:val="1"/>
      <w:numFmt w:val="bullet"/>
      <w:lvlText w:val=""/>
      <w:lvlJc w:val="left"/>
      <w:pPr>
        <w:tabs>
          <w:tab w:val="num" w:pos="4320"/>
        </w:tabs>
        <w:ind w:left="4320" w:hanging="360"/>
      </w:pPr>
      <w:rPr>
        <w:rFonts w:ascii="Wingdings" w:hAnsi="Wingdings"/>
      </w:rPr>
    </w:lvl>
    <w:lvl w:ilvl="6" w:tplc="282C83FA">
      <w:start w:val="1"/>
      <w:numFmt w:val="bullet"/>
      <w:lvlText w:val=""/>
      <w:lvlJc w:val="left"/>
      <w:pPr>
        <w:tabs>
          <w:tab w:val="num" w:pos="5040"/>
        </w:tabs>
        <w:ind w:left="5040" w:hanging="360"/>
      </w:pPr>
      <w:rPr>
        <w:rFonts w:ascii="Symbol" w:hAnsi="Symbol"/>
      </w:rPr>
    </w:lvl>
    <w:lvl w:ilvl="7" w:tplc="6E180B38">
      <w:start w:val="1"/>
      <w:numFmt w:val="bullet"/>
      <w:lvlText w:val="o"/>
      <w:lvlJc w:val="left"/>
      <w:pPr>
        <w:tabs>
          <w:tab w:val="num" w:pos="5760"/>
        </w:tabs>
        <w:ind w:left="5760" w:hanging="360"/>
      </w:pPr>
      <w:rPr>
        <w:rFonts w:ascii="Courier New" w:hAnsi="Courier New"/>
      </w:rPr>
    </w:lvl>
    <w:lvl w:ilvl="8" w:tplc="BE6005A4">
      <w:start w:val="1"/>
      <w:numFmt w:val="bullet"/>
      <w:lvlText w:val=""/>
      <w:lvlJc w:val="left"/>
      <w:pPr>
        <w:tabs>
          <w:tab w:val="num" w:pos="6480"/>
        </w:tabs>
        <w:ind w:left="6480" w:hanging="360"/>
      </w:pPr>
      <w:rPr>
        <w:rFonts w:ascii="Wingdings" w:hAnsi="Wingdings"/>
      </w:rPr>
    </w:lvl>
  </w:abstractNum>
  <w:abstractNum w:abstractNumId="6" w15:restartNumberingAfterBreak="0">
    <w:nsid w:val="00000007"/>
    <w:multiLevelType w:val="hybridMultilevel"/>
    <w:tmpl w:val="00000007"/>
    <w:lvl w:ilvl="0" w:tplc="48F8ABC6">
      <w:start w:val="1"/>
      <w:numFmt w:val="bullet"/>
      <w:lvlText w:val=""/>
      <w:lvlJc w:val="left"/>
      <w:pPr>
        <w:ind w:left="720" w:hanging="360"/>
      </w:pPr>
      <w:rPr>
        <w:rFonts w:ascii="Symbol" w:hAnsi="Symbol"/>
        <w:b w:val="0"/>
        <w:bCs w:val="0"/>
      </w:rPr>
    </w:lvl>
    <w:lvl w:ilvl="1" w:tplc="500C315A">
      <w:start w:val="1"/>
      <w:numFmt w:val="bullet"/>
      <w:lvlText w:val="o"/>
      <w:lvlJc w:val="left"/>
      <w:pPr>
        <w:tabs>
          <w:tab w:val="num" w:pos="1440"/>
        </w:tabs>
        <w:ind w:left="1440" w:hanging="360"/>
      </w:pPr>
      <w:rPr>
        <w:rFonts w:ascii="Courier New" w:hAnsi="Courier New"/>
      </w:rPr>
    </w:lvl>
    <w:lvl w:ilvl="2" w:tplc="AC0027B4">
      <w:start w:val="1"/>
      <w:numFmt w:val="bullet"/>
      <w:lvlText w:val=""/>
      <w:lvlJc w:val="left"/>
      <w:pPr>
        <w:tabs>
          <w:tab w:val="num" w:pos="2160"/>
        </w:tabs>
        <w:ind w:left="2160" w:hanging="360"/>
      </w:pPr>
      <w:rPr>
        <w:rFonts w:ascii="Wingdings" w:hAnsi="Wingdings"/>
      </w:rPr>
    </w:lvl>
    <w:lvl w:ilvl="3" w:tplc="7A020E16">
      <w:start w:val="1"/>
      <w:numFmt w:val="bullet"/>
      <w:lvlText w:val=""/>
      <w:lvlJc w:val="left"/>
      <w:pPr>
        <w:tabs>
          <w:tab w:val="num" w:pos="2880"/>
        </w:tabs>
        <w:ind w:left="2880" w:hanging="360"/>
      </w:pPr>
      <w:rPr>
        <w:rFonts w:ascii="Symbol" w:hAnsi="Symbol"/>
      </w:rPr>
    </w:lvl>
    <w:lvl w:ilvl="4" w:tplc="C11CC80C">
      <w:start w:val="1"/>
      <w:numFmt w:val="bullet"/>
      <w:lvlText w:val="o"/>
      <w:lvlJc w:val="left"/>
      <w:pPr>
        <w:tabs>
          <w:tab w:val="num" w:pos="3600"/>
        </w:tabs>
        <w:ind w:left="3600" w:hanging="360"/>
      </w:pPr>
      <w:rPr>
        <w:rFonts w:ascii="Courier New" w:hAnsi="Courier New"/>
      </w:rPr>
    </w:lvl>
    <w:lvl w:ilvl="5" w:tplc="0B26EF04">
      <w:start w:val="1"/>
      <w:numFmt w:val="bullet"/>
      <w:lvlText w:val=""/>
      <w:lvlJc w:val="left"/>
      <w:pPr>
        <w:tabs>
          <w:tab w:val="num" w:pos="4320"/>
        </w:tabs>
        <w:ind w:left="4320" w:hanging="360"/>
      </w:pPr>
      <w:rPr>
        <w:rFonts w:ascii="Wingdings" w:hAnsi="Wingdings"/>
      </w:rPr>
    </w:lvl>
    <w:lvl w:ilvl="6" w:tplc="335801FC">
      <w:start w:val="1"/>
      <w:numFmt w:val="bullet"/>
      <w:lvlText w:val=""/>
      <w:lvlJc w:val="left"/>
      <w:pPr>
        <w:tabs>
          <w:tab w:val="num" w:pos="5040"/>
        </w:tabs>
        <w:ind w:left="5040" w:hanging="360"/>
      </w:pPr>
      <w:rPr>
        <w:rFonts w:ascii="Symbol" w:hAnsi="Symbol"/>
      </w:rPr>
    </w:lvl>
    <w:lvl w:ilvl="7" w:tplc="751424BE">
      <w:start w:val="1"/>
      <w:numFmt w:val="bullet"/>
      <w:lvlText w:val="o"/>
      <w:lvlJc w:val="left"/>
      <w:pPr>
        <w:tabs>
          <w:tab w:val="num" w:pos="5760"/>
        </w:tabs>
        <w:ind w:left="5760" w:hanging="360"/>
      </w:pPr>
      <w:rPr>
        <w:rFonts w:ascii="Courier New" w:hAnsi="Courier New"/>
      </w:rPr>
    </w:lvl>
    <w:lvl w:ilvl="8" w:tplc="101443DE">
      <w:start w:val="1"/>
      <w:numFmt w:val="bullet"/>
      <w:lvlText w:val=""/>
      <w:lvlJc w:val="left"/>
      <w:pPr>
        <w:tabs>
          <w:tab w:val="num" w:pos="6480"/>
        </w:tabs>
        <w:ind w:left="6480" w:hanging="360"/>
      </w:pPr>
      <w:rPr>
        <w:rFonts w:ascii="Wingdings" w:hAnsi="Wingdings"/>
      </w:rPr>
    </w:lvl>
  </w:abstractNum>
  <w:abstractNum w:abstractNumId="7" w15:restartNumberingAfterBreak="0">
    <w:nsid w:val="00000008"/>
    <w:multiLevelType w:val="hybridMultilevel"/>
    <w:tmpl w:val="00000008"/>
    <w:lvl w:ilvl="0" w:tplc="ADC871D4">
      <w:start w:val="1"/>
      <w:numFmt w:val="bullet"/>
      <w:lvlText w:val=""/>
      <w:lvlJc w:val="left"/>
      <w:pPr>
        <w:ind w:left="720" w:hanging="360"/>
      </w:pPr>
      <w:rPr>
        <w:rFonts w:ascii="Symbol" w:hAnsi="Symbol"/>
        <w:b w:val="0"/>
        <w:bCs w:val="0"/>
      </w:rPr>
    </w:lvl>
    <w:lvl w:ilvl="1" w:tplc="58A8AE92">
      <w:start w:val="1"/>
      <w:numFmt w:val="bullet"/>
      <w:lvlText w:val="o"/>
      <w:lvlJc w:val="left"/>
      <w:pPr>
        <w:tabs>
          <w:tab w:val="num" w:pos="1440"/>
        </w:tabs>
        <w:ind w:left="1440" w:hanging="360"/>
      </w:pPr>
      <w:rPr>
        <w:rFonts w:ascii="Courier New" w:hAnsi="Courier New"/>
      </w:rPr>
    </w:lvl>
    <w:lvl w:ilvl="2" w:tplc="82DA4D20">
      <w:start w:val="1"/>
      <w:numFmt w:val="bullet"/>
      <w:lvlText w:val=""/>
      <w:lvlJc w:val="left"/>
      <w:pPr>
        <w:tabs>
          <w:tab w:val="num" w:pos="2160"/>
        </w:tabs>
        <w:ind w:left="2160" w:hanging="360"/>
      </w:pPr>
      <w:rPr>
        <w:rFonts w:ascii="Wingdings" w:hAnsi="Wingdings"/>
      </w:rPr>
    </w:lvl>
    <w:lvl w:ilvl="3" w:tplc="5C78CEDC">
      <w:start w:val="1"/>
      <w:numFmt w:val="bullet"/>
      <w:lvlText w:val=""/>
      <w:lvlJc w:val="left"/>
      <w:pPr>
        <w:tabs>
          <w:tab w:val="num" w:pos="2880"/>
        </w:tabs>
        <w:ind w:left="2880" w:hanging="360"/>
      </w:pPr>
      <w:rPr>
        <w:rFonts w:ascii="Symbol" w:hAnsi="Symbol"/>
      </w:rPr>
    </w:lvl>
    <w:lvl w:ilvl="4" w:tplc="6A0251EE">
      <w:start w:val="1"/>
      <w:numFmt w:val="bullet"/>
      <w:lvlText w:val="o"/>
      <w:lvlJc w:val="left"/>
      <w:pPr>
        <w:tabs>
          <w:tab w:val="num" w:pos="3600"/>
        </w:tabs>
        <w:ind w:left="3600" w:hanging="360"/>
      </w:pPr>
      <w:rPr>
        <w:rFonts w:ascii="Courier New" w:hAnsi="Courier New"/>
      </w:rPr>
    </w:lvl>
    <w:lvl w:ilvl="5" w:tplc="AC581C36">
      <w:start w:val="1"/>
      <w:numFmt w:val="bullet"/>
      <w:lvlText w:val=""/>
      <w:lvlJc w:val="left"/>
      <w:pPr>
        <w:tabs>
          <w:tab w:val="num" w:pos="4320"/>
        </w:tabs>
        <w:ind w:left="4320" w:hanging="360"/>
      </w:pPr>
      <w:rPr>
        <w:rFonts w:ascii="Wingdings" w:hAnsi="Wingdings"/>
      </w:rPr>
    </w:lvl>
    <w:lvl w:ilvl="6" w:tplc="B588BB18">
      <w:start w:val="1"/>
      <w:numFmt w:val="bullet"/>
      <w:lvlText w:val=""/>
      <w:lvlJc w:val="left"/>
      <w:pPr>
        <w:tabs>
          <w:tab w:val="num" w:pos="5040"/>
        </w:tabs>
        <w:ind w:left="5040" w:hanging="360"/>
      </w:pPr>
      <w:rPr>
        <w:rFonts w:ascii="Symbol" w:hAnsi="Symbol"/>
      </w:rPr>
    </w:lvl>
    <w:lvl w:ilvl="7" w:tplc="17F464E4">
      <w:start w:val="1"/>
      <w:numFmt w:val="bullet"/>
      <w:lvlText w:val="o"/>
      <w:lvlJc w:val="left"/>
      <w:pPr>
        <w:tabs>
          <w:tab w:val="num" w:pos="5760"/>
        </w:tabs>
        <w:ind w:left="5760" w:hanging="360"/>
      </w:pPr>
      <w:rPr>
        <w:rFonts w:ascii="Courier New" w:hAnsi="Courier New"/>
      </w:rPr>
    </w:lvl>
    <w:lvl w:ilvl="8" w:tplc="050CE714">
      <w:start w:val="1"/>
      <w:numFmt w:val="bullet"/>
      <w:lvlText w:val=""/>
      <w:lvlJc w:val="left"/>
      <w:pPr>
        <w:tabs>
          <w:tab w:val="num" w:pos="6480"/>
        </w:tabs>
        <w:ind w:left="6480" w:hanging="360"/>
      </w:pPr>
      <w:rPr>
        <w:rFonts w:ascii="Wingdings" w:hAnsi="Wingdings"/>
      </w:rPr>
    </w:lvl>
  </w:abstractNum>
  <w:abstractNum w:abstractNumId="8" w15:restartNumberingAfterBreak="0">
    <w:nsid w:val="01F36A7F"/>
    <w:multiLevelType w:val="hybridMultilevel"/>
    <w:tmpl w:val="A8D45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67315EE"/>
    <w:multiLevelType w:val="hybridMultilevel"/>
    <w:tmpl w:val="DB087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7296CF5"/>
    <w:multiLevelType w:val="hybridMultilevel"/>
    <w:tmpl w:val="5E28B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1F1794"/>
    <w:multiLevelType w:val="hybridMultilevel"/>
    <w:tmpl w:val="8C725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E57F91"/>
    <w:multiLevelType w:val="hybridMultilevel"/>
    <w:tmpl w:val="EEB8A95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E63F8C"/>
    <w:multiLevelType w:val="hybridMultilevel"/>
    <w:tmpl w:val="268AD51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826C9F"/>
    <w:multiLevelType w:val="multilevel"/>
    <w:tmpl w:val="98E05EB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B552890"/>
    <w:multiLevelType w:val="multilevel"/>
    <w:tmpl w:val="9FF03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586CC2"/>
    <w:multiLevelType w:val="multilevel"/>
    <w:tmpl w:val="54641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ED02A58"/>
    <w:multiLevelType w:val="hybridMultilevel"/>
    <w:tmpl w:val="7890A6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4543D8"/>
    <w:multiLevelType w:val="hybridMultilevel"/>
    <w:tmpl w:val="0F0EE9B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35F3726C"/>
    <w:multiLevelType w:val="multilevel"/>
    <w:tmpl w:val="DAA45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71A1BF6"/>
    <w:multiLevelType w:val="hybridMultilevel"/>
    <w:tmpl w:val="AD147C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2A1435"/>
    <w:multiLevelType w:val="hybridMultilevel"/>
    <w:tmpl w:val="B82057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477205"/>
    <w:multiLevelType w:val="hybridMultilevel"/>
    <w:tmpl w:val="F5FA40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53169C"/>
    <w:multiLevelType w:val="hybridMultilevel"/>
    <w:tmpl w:val="4D181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E57305"/>
    <w:multiLevelType w:val="multilevel"/>
    <w:tmpl w:val="A9827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DBB4B73"/>
    <w:multiLevelType w:val="hybridMultilevel"/>
    <w:tmpl w:val="9136381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15:restartNumberingAfterBreak="0">
    <w:nsid w:val="56A71213"/>
    <w:multiLevelType w:val="hybridMultilevel"/>
    <w:tmpl w:val="2FB83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6F1E67"/>
    <w:multiLevelType w:val="hybridMultilevel"/>
    <w:tmpl w:val="F8D824D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15:restartNumberingAfterBreak="0">
    <w:nsid w:val="61F71F7D"/>
    <w:multiLevelType w:val="hybridMultilevel"/>
    <w:tmpl w:val="5B2E5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0A424A"/>
    <w:multiLevelType w:val="hybridMultilevel"/>
    <w:tmpl w:val="88887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9A1169"/>
    <w:multiLevelType w:val="hybridMultilevel"/>
    <w:tmpl w:val="58A0551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6D885484"/>
    <w:multiLevelType w:val="hybridMultilevel"/>
    <w:tmpl w:val="4D5C4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352DD8"/>
    <w:multiLevelType w:val="multilevel"/>
    <w:tmpl w:val="EDB4B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90472A8"/>
    <w:multiLevelType w:val="hybridMultilevel"/>
    <w:tmpl w:val="F2E4A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DA7347"/>
    <w:multiLevelType w:val="multilevel"/>
    <w:tmpl w:val="74E61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E2B0FAF"/>
    <w:multiLevelType w:val="hybridMultilevel"/>
    <w:tmpl w:val="B0F2C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20"/>
  </w:num>
  <w:num w:numId="10">
    <w:abstractNumId w:val="10"/>
  </w:num>
  <w:num w:numId="11">
    <w:abstractNumId w:val="30"/>
  </w:num>
  <w:num w:numId="12">
    <w:abstractNumId w:val="31"/>
  </w:num>
  <w:num w:numId="13">
    <w:abstractNumId w:val="33"/>
  </w:num>
  <w:num w:numId="14">
    <w:abstractNumId w:val="11"/>
  </w:num>
  <w:num w:numId="15">
    <w:abstractNumId w:val="16"/>
  </w:num>
  <w:num w:numId="16">
    <w:abstractNumId w:val="27"/>
  </w:num>
  <w:num w:numId="17">
    <w:abstractNumId w:val="28"/>
  </w:num>
  <w:num w:numId="18">
    <w:abstractNumId w:val="29"/>
  </w:num>
  <w:num w:numId="19">
    <w:abstractNumId w:val="25"/>
  </w:num>
  <w:num w:numId="20">
    <w:abstractNumId w:val="14"/>
  </w:num>
  <w:num w:numId="21">
    <w:abstractNumId w:val="12"/>
  </w:num>
  <w:num w:numId="22">
    <w:abstractNumId w:val="23"/>
  </w:num>
  <w:num w:numId="23">
    <w:abstractNumId w:val="26"/>
  </w:num>
  <w:num w:numId="24">
    <w:abstractNumId w:val="15"/>
  </w:num>
  <w:num w:numId="25">
    <w:abstractNumId w:val="34"/>
  </w:num>
  <w:num w:numId="26">
    <w:abstractNumId w:val="8"/>
  </w:num>
  <w:num w:numId="27">
    <w:abstractNumId w:val="9"/>
  </w:num>
  <w:num w:numId="28">
    <w:abstractNumId w:val="13"/>
  </w:num>
  <w:num w:numId="29">
    <w:abstractNumId w:val="18"/>
  </w:num>
  <w:num w:numId="30">
    <w:abstractNumId w:val="21"/>
  </w:num>
  <w:num w:numId="31">
    <w:abstractNumId w:val="17"/>
  </w:num>
  <w:num w:numId="32">
    <w:abstractNumId w:val="22"/>
  </w:num>
  <w:num w:numId="33">
    <w:abstractNumId w:val="24"/>
  </w:num>
  <w:num w:numId="34">
    <w:abstractNumId w:val="32"/>
  </w:num>
  <w:num w:numId="35">
    <w:abstractNumId w:val="19"/>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35D"/>
    <w:rsid w:val="000151DA"/>
    <w:rsid w:val="00023DC6"/>
    <w:rsid w:val="00030D5B"/>
    <w:rsid w:val="000407A1"/>
    <w:rsid w:val="00060D75"/>
    <w:rsid w:val="00061020"/>
    <w:rsid w:val="00073C76"/>
    <w:rsid w:val="000B225A"/>
    <w:rsid w:val="000C34B3"/>
    <w:rsid w:val="0013071F"/>
    <w:rsid w:val="00134F6A"/>
    <w:rsid w:val="00142F79"/>
    <w:rsid w:val="001529FA"/>
    <w:rsid w:val="00156071"/>
    <w:rsid w:val="001853EE"/>
    <w:rsid w:val="00192162"/>
    <w:rsid w:val="001A5049"/>
    <w:rsid w:val="001C09E1"/>
    <w:rsid w:val="001C3211"/>
    <w:rsid w:val="001D72DA"/>
    <w:rsid w:val="001E3B22"/>
    <w:rsid w:val="001E6C96"/>
    <w:rsid w:val="001F0E4F"/>
    <w:rsid w:val="00224F6E"/>
    <w:rsid w:val="00231EA4"/>
    <w:rsid w:val="00250AA1"/>
    <w:rsid w:val="002574D9"/>
    <w:rsid w:val="0027135D"/>
    <w:rsid w:val="00280B92"/>
    <w:rsid w:val="0029076C"/>
    <w:rsid w:val="00291D11"/>
    <w:rsid w:val="00295F20"/>
    <w:rsid w:val="002A2002"/>
    <w:rsid w:val="002A7270"/>
    <w:rsid w:val="002D12C4"/>
    <w:rsid w:val="002D2521"/>
    <w:rsid w:val="002D5955"/>
    <w:rsid w:val="002E143B"/>
    <w:rsid w:val="00325026"/>
    <w:rsid w:val="00377491"/>
    <w:rsid w:val="003807A7"/>
    <w:rsid w:val="00385FC6"/>
    <w:rsid w:val="00392F09"/>
    <w:rsid w:val="00394706"/>
    <w:rsid w:val="00397D6B"/>
    <w:rsid w:val="003C30E5"/>
    <w:rsid w:val="003E7638"/>
    <w:rsid w:val="00427A8D"/>
    <w:rsid w:val="00435C0E"/>
    <w:rsid w:val="0044011D"/>
    <w:rsid w:val="0044088F"/>
    <w:rsid w:val="0045094D"/>
    <w:rsid w:val="00465FE1"/>
    <w:rsid w:val="00470A1F"/>
    <w:rsid w:val="004840B3"/>
    <w:rsid w:val="004A0583"/>
    <w:rsid w:val="004A56A1"/>
    <w:rsid w:val="004B0889"/>
    <w:rsid w:val="004C2EE5"/>
    <w:rsid w:val="004E451C"/>
    <w:rsid w:val="004E57AA"/>
    <w:rsid w:val="004F5549"/>
    <w:rsid w:val="004F5590"/>
    <w:rsid w:val="005064F6"/>
    <w:rsid w:val="0052389B"/>
    <w:rsid w:val="00542B20"/>
    <w:rsid w:val="00553707"/>
    <w:rsid w:val="00555511"/>
    <w:rsid w:val="005571C7"/>
    <w:rsid w:val="00564DEE"/>
    <w:rsid w:val="00574FCE"/>
    <w:rsid w:val="00577AFC"/>
    <w:rsid w:val="005938C6"/>
    <w:rsid w:val="005953DA"/>
    <w:rsid w:val="005971F9"/>
    <w:rsid w:val="005A1B19"/>
    <w:rsid w:val="005C659E"/>
    <w:rsid w:val="005D6514"/>
    <w:rsid w:val="005E2699"/>
    <w:rsid w:val="005E2F29"/>
    <w:rsid w:val="005E552A"/>
    <w:rsid w:val="00607336"/>
    <w:rsid w:val="00617AA4"/>
    <w:rsid w:val="00653BFD"/>
    <w:rsid w:val="00684800"/>
    <w:rsid w:val="00691D07"/>
    <w:rsid w:val="006B4B89"/>
    <w:rsid w:val="006B7029"/>
    <w:rsid w:val="006D52A1"/>
    <w:rsid w:val="006E2710"/>
    <w:rsid w:val="006F5FBB"/>
    <w:rsid w:val="00720936"/>
    <w:rsid w:val="00727142"/>
    <w:rsid w:val="007320FE"/>
    <w:rsid w:val="007321A6"/>
    <w:rsid w:val="007542BC"/>
    <w:rsid w:val="00784C8B"/>
    <w:rsid w:val="00784F31"/>
    <w:rsid w:val="00791C79"/>
    <w:rsid w:val="00792FAF"/>
    <w:rsid w:val="00794D1F"/>
    <w:rsid w:val="0079560A"/>
    <w:rsid w:val="007A070D"/>
    <w:rsid w:val="007A2F6E"/>
    <w:rsid w:val="007B104E"/>
    <w:rsid w:val="007B3F67"/>
    <w:rsid w:val="007F1F1C"/>
    <w:rsid w:val="00800A7F"/>
    <w:rsid w:val="008300EB"/>
    <w:rsid w:val="008316D3"/>
    <w:rsid w:val="00841C5A"/>
    <w:rsid w:val="00843BDF"/>
    <w:rsid w:val="00853E31"/>
    <w:rsid w:val="00854C27"/>
    <w:rsid w:val="008A5F3F"/>
    <w:rsid w:val="008B7095"/>
    <w:rsid w:val="008C0D05"/>
    <w:rsid w:val="008E0BC1"/>
    <w:rsid w:val="008E359A"/>
    <w:rsid w:val="008E5242"/>
    <w:rsid w:val="00901149"/>
    <w:rsid w:val="00901A13"/>
    <w:rsid w:val="00911AF3"/>
    <w:rsid w:val="009219BF"/>
    <w:rsid w:val="0093797F"/>
    <w:rsid w:val="009610B5"/>
    <w:rsid w:val="00966B79"/>
    <w:rsid w:val="009A0F59"/>
    <w:rsid w:val="009A1D8B"/>
    <w:rsid w:val="009D43B5"/>
    <w:rsid w:val="009E1144"/>
    <w:rsid w:val="009E2A04"/>
    <w:rsid w:val="00A10895"/>
    <w:rsid w:val="00A1094D"/>
    <w:rsid w:val="00A24118"/>
    <w:rsid w:val="00A3776E"/>
    <w:rsid w:val="00A5130C"/>
    <w:rsid w:val="00A61574"/>
    <w:rsid w:val="00A61575"/>
    <w:rsid w:val="00A6713B"/>
    <w:rsid w:val="00A73C79"/>
    <w:rsid w:val="00A911A1"/>
    <w:rsid w:val="00AA7014"/>
    <w:rsid w:val="00AD6A46"/>
    <w:rsid w:val="00AD7A31"/>
    <w:rsid w:val="00AE0AE6"/>
    <w:rsid w:val="00AF087E"/>
    <w:rsid w:val="00AF1717"/>
    <w:rsid w:val="00B24361"/>
    <w:rsid w:val="00B35241"/>
    <w:rsid w:val="00B37899"/>
    <w:rsid w:val="00B40E2A"/>
    <w:rsid w:val="00B466E4"/>
    <w:rsid w:val="00B56515"/>
    <w:rsid w:val="00B6710C"/>
    <w:rsid w:val="00B801C7"/>
    <w:rsid w:val="00B8250F"/>
    <w:rsid w:val="00BA2C76"/>
    <w:rsid w:val="00BB66A6"/>
    <w:rsid w:val="00BC3ABA"/>
    <w:rsid w:val="00BD5FA6"/>
    <w:rsid w:val="00BE0C93"/>
    <w:rsid w:val="00BE26CC"/>
    <w:rsid w:val="00BF195B"/>
    <w:rsid w:val="00C01EC4"/>
    <w:rsid w:val="00C035FA"/>
    <w:rsid w:val="00C35F3A"/>
    <w:rsid w:val="00C43FCE"/>
    <w:rsid w:val="00C518DE"/>
    <w:rsid w:val="00C63E5B"/>
    <w:rsid w:val="00C6626F"/>
    <w:rsid w:val="00CA1617"/>
    <w:rsid w:val="00CB0FAA"/>
    <w:rsid w:val="00CB44B6"/>
    <w:rsid w:val="00CB54E2"/>
    <w:rsid w:val="00CD3C9F"/>
    <w:rsid w:val="00CD7C84"/>
    <w:rsid w:val="00CE22C6"/>
    <w:rsid w:val="00D00EFE"/>
    <w:rsid w:val="00D05D32"/>
    <w:rsid w:val="00D16B19"/>
    <w:rsid w:val="00D22574"/>
    <w:rsid w:val="00D3633D"/>
    <w:rsid w:val="00D42A07"/>
    <w:rsid w:val="00D56AD4"/>
    <w:rsid w:val="00D625D0"/>
    <w:rsid w:val="00D70225"/>
    <w:rsid w:val="00D8142A"/>
    <w:rsid w:val="00D83971"/>
    <w:rsid w:val="00D91555"/>
    <w:rsid w:val="00DA71AE"/>
    <w:rsid w:val="00DB71EB"/>
    <w:rsid w:val="00DC3E19"/>
    <w:rsid w:val="00DC4348"/>
    <w:rsid w:val="00DD44B3"/>
    <w:rsid w:val="00DF6E67"/>
    <w:rsid w:val="00E31B7C"/>
    <w:rsid w:val="00E34C5E"/>
    <w:rsid w:val="00E3595C"/>
    <w:rsid w:val="00EB0980"/>
    <w:rsid w:val="00EB56C3"/>
    <w:rsid w:val="00ED0170"/>
    <w:rsid w:val="00ED0663"/>
    <w:rsid w:val="00ED4554"/>
    <w:rsid w:val="00EF6FFB"/>
    <w:rsid w:val="00F00B7E"/>
    <w:rsid w:val="00F02F7E"/>
    <w:rsid w:val="00F064FD"/>
    <w:rsid w:val="00F1774A"/>
    <w:rsid w:val="00F37D1C"/>
    <w:rsid w:val="00F61655"/>
    <w:rsid w:val="00F8419E"/>
    <w:rsid w:val="00F96A3A"/>
    <w:rsid w:val="00FC2D29"/>
    <w:rsid w:val="00FD2B93"/>
    <w:rsid w:val="00FE0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3F173"/>
  <w15:docId w15:val="{D3082DAD-8DE2-4457-81DD-C2775B572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1F1C"/>
    <w:pPr>
      <w:outlineLvl w:val="0"/>
    </w:pPr>
    <w:rPr>
      <w:rFonts w:asciiTheme="minorHAnsi" w:hAnsiTheme="minorHAnsi" w:cstheme="minorHAnsi"/>
      <w:sz w:val="24"/>
      <w:szCs w:val="24"/>
    </w:rPr>
  </w:style>
  <w:style w:type="paragraph" w:styleId="Heading1">
    <w:name w:val="heading 1"/>
    <w:basedOn w:val="Normal"/>
    <w:next w:val="Normal"/>
    <w:qFormat/>
    <w:rsid w:val="00A5130C"/>
    <w:pPr>
      <w:jc w:val="center"/>
    </w:pPr>
    <w:rPr>
      <w:b/>
      <w:bCs/>
      <w:sz w:val="32"/>
      <w:szCs w:val="32"/>
    </w:rPr>
  </w:style>
  <w:style w:type="paragraph" w:styleId="Heading2">
    <w:name w:val="heading 2"/>
    <w:basedOn w:val="Normal"/>
    <w:next w:val="Normal"/>
    <w:qFormat/>
    <w:rsid w:val="00A5130C"/>
    <w:pPr>
      <w:keepNext/>
      <w:spacing w:before="240" w:after="60"/>
      <w:jc w:val="center"/>
      <w:outlineLvl w:val="1"/>
    </w:pPr>
    <w:rPr>
      <w:b/>
      <w:bCs/>
      <w:iCs/>
      <w:sz w:val="32"/>
      <w:szCs w:val="32"/>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805BCE"/>
    <w:rPr>
      <w:vertAlign w:val="superscript"/>
    </w:rPr>
  </w:style>
  <w:style w:type="paragraph" w:styleId="FootnoteText">
    <w:name w:val="footnote text"/>
    <w:basedOn w:val="Normal"/>
    <w:link w:val="FootnoteTextChar"/>
    <w:rsid w:val="00805BCE"/>
    <w:rPr>
      <w:sz w:val="20"/>
      <w:szCs w:val="20"/>
    </w:rPr>
  </w:style>
  <w:style w:type="character" w:customStyle="1" w:styleId="FootnoteTextChar">
    <w:name w:val="Footnote Text Char"/>
    <w:basedOn w:val="DefaultParagraphFont"/>
    <w:link w:val="FootnoteText"/>
    <w:rsid w:val="004A0583"/>
  </w:style>
  <w:style w:type="paragraph" w:styleId="Header">
    <w:name w:val="header"/>
    <w:basedOn w:val="Normal"/>
    <w:link w:val="HeaderChar"/>
    <w:uiPriority w:val="99"/>
    <w:unhideWhenUsed/>
    <w:rsid w:val="00784C8B"/>
    <w:pPr>
      <w:tabs>
        <w:tab w:val="center" w:pos="4680"/>
        <w:tab w:val="right" w:pos="9360"/>
      </w:tabs>
    </w:pPr>
  </w:style>
  <w:style w:type="character" w:customStyle="1" w:styleId="HeaderChar">
    <w:name w:val="Header Char"/>
    <w:basedOn w:val="DefaultParagraphFont"/>
    <w:link w:val="Header"/>
    <w:uiPriority w:val="99"/>
    <w:rsid w:val="00784C8B"/>
    <w:rPr>
      <w:sz w:val="24"/>
      <w:szCs w:val="24"/>
    </w:rPr>
  </w:style>
  <w:style w:type="paragraph" w:styleId="Footer">
    <w:name w:val="footer"/>
    <w:basedOn w:val="Normal"/>
    <w:link w:val="FooterChar"/>
    <w:uiPriority w:val="99"/>
    <w:unhideWhenUsed/>
    <w:rsid w:val="00784C8B"/>
    <w:pPr>
      <w:tabs>
        <w:tab w:val="center" w:pos="4680"/>
        <w:tab w:val="right" w:pos="9360"/>
      </w:tabs>
    </w:pPr>
  </w:style>
  <w:style w:type="character" w:customStyle="1" w:styleId="FooterChar">
    <w:name w:val="Footer Char"/>
    <w:basedOn w:val="DefaultParagraphFont"/>
    <w:link w:val="Footer"/>
    <w:uiPriority w:val="99"/>
    <w:rsid w:val="00784C8B"/>
    <w:rPr>
      <w:sz w:val="24"/>
      <w:szCs w:val="24"/>
    </w:rPr>
  </w:style>
  <w:style w:type="paragraph" w:styleId="ListParagraph">
    <w:name w:val="List Paragraph"/>
    <w:basedOn w:val="Normal"/>
    <w:uiPriority w:val="34"/>
    <w:qFormat/>
    <w:rsid w:val="009219BF"/>
    <w:pPr>
      <w:spacing w:after="160" w:line="259" w:lineRule="auto"/>
      <w:ind w:left="720"/>
      <w:contextualSpacing/>
    </w:pPr>
    <w:rPr>
      <w:rFonts w:eastAsiaTheme="minorHAnsi" w:cstheme="minorBidi"/>
      <w:sz w:val="22"/>
      <w:szCs w:val="22"/>
    </w:rPr>
  </w:style>
  <w:style w:type="character" w:styleId="Hyperlink">
    <w:name w:val="Hyperlink"/>
    <w:basedOn w:val="DefaultParagraphFont"/>
    <w:uiPriority w:val="99"/>
    <w:unhideWhenUsed/>
    <w:rsid w:val="009219BF"/>
    <w:rPr>
      <w:color w:val="0563C1"/>
      <w:u w:val="single"/>
    </w:rPr>
  </w:style>
  <w:style w:type="table" w:styleId="TableGrid">
    <w:name w:val="Table Grid"/>
    <w:basedOn w:val="TableNormal"/>
    <w:uiPriority w:val="59"/>
    <w:unhideWhenUsed/>
    <w:rsid w:val="003774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16B19"/>
    <w:rPr>
      <w:color w:val="605E5C"/>
      <w:shd w:val="clear" w:color="auto" w:fill="E1DFDD"/>
    </w:rPr>
  </w:style>
  <w:style w:type="paragraph" w:styleId="BalloonText">
    <w:name w:val="Balloon Text"/>
    <w:basedOn w:val="Normal"/>
    <w:link w:val="BalloonTextChar"/>
    <w:uiPriority w:val="99"/>
    <w:semiHidden/>
    <w:unhideWhenUsed/>
    <w:rsid w:val="009379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797F"/>
    <w:rPr>
      <w:rFonts w:ascii="Segoe UI" w:hAnsi="Segoe UI" w:cs="Segoe UI"/>
      <w:sz w:val="18"/>
      <w:szCs w:val="18"/>
    </w:rPr>
  </w:style>
  <w:style w:type="paragraph" w:styleId="NormalWeb">
    <w:name w:val="Normal (Web)"/>
    <w:basedOn w:val="Normal"/>
    <w:uiPriority w:val="99"/>
    <w:unhideWhenUsed/>
    <w:rsid w:val="00AF087E"/>
    <w:pPr>
      <w:spacing w:before="100" w:beforeAutospacing="1" w:after="100" w:afterAutospacing="1"/>
    </w:pPr>
  </w:style>
  <w:style w:type="character" w:styleId="Emphasis">
    <w:name w:val="Emphasis"/>
    <w:basedOn w:val="DefaultParagraphFont"/>
    <w:uiPriority w:val="20"/>
    <w:qFormat/>
    <w:rsid w:val="006F5FBB"/>
    <w:rPr>
      <w:rFonts w:asciiTheme="minorHAnsi" w:hAnsiTheme="minorHAnsi" w:cstheme="minorHAnsi"/>
      <w:b/>
      <w:bCs/>
      <w:sz w:val="32"/>
      <w:szCs w:val="32"/>
    </w:rPr>
  </w:style>
  <w:style w:type="character" w:customStyle="1" w:styleId="highlight">
    <w:name w:val="highlight"/>
    <w:basedOn w:val="DefaultParagraphFont"/>
    <w:rsid w:val="00AF087E"/>
  </w:style>
  <w:style w:type="character" w:styleId="FollowedHyperlink">
    <w:name w:val="FollowedHyperlink"/>
    <w:basedOn w:val="DefaultParagraphFont"/>
    <w:uiPriority w:val="99"/>
    <w:semiHidden/>
    <w:unhideWhenUsed/>
    <w:rsid w:val="008E359A"/>
    <w:rPr>
      <w:color w:val="954F72" w:themeColor="followedHyperlink"/>
      <w:u w:val="single"/>
    </w:rPr>
  </w:style>
  <w:style w:type="paragraph" w:customStyle="1" w:styleId="Default">
    <w:name w:val="Default"/>
    <w:rsid w:val="008E359A"/>
    <w:pPr>
      <w:autoSpaceDE w:val="0"/>
      <w:autoSpaceDN w:val="0"/>
      <w:adjustRightInd w:val="0"/>
    </w:pPr>
    <w:rPr>
      <w:color w:val="000000"/>
      <w:sz w:val="24"/>
      <w:szCs w:val="24"/>
    </w:rPr>
  </w:style>
  <w:style w:type="character" w:styleId="Strong">
    <w:name w:val="Strong"/>
    <w:basedOn w:val="DefaultParagraphFont"/>
    <w:uiPriority w:val="22"/>
    <w:qFormat/>
    <w:rsid w:val="002D5955"/>
    <w:rPr>
      <w:b/>
      <w:bCs/>
    </w:rPr>
  </w:style>
  <w:style w:type="character" w:customStyle="1" w:styleId="usa-tag">
    <w:name w:val="usa-tag"/>
    <w:basedOn w:val="DefaultParagraphFont"/>
    <w:rsid w:val="001D72DA"/>
  </w:style>
  <w:style w:type="paragraph" w:styleId="TOCHeading">
    <w:name w:val="TOC Heading"/>
    <w:basedOn w:val="Heading1"/>
    <w:next w:val="Normal"/>
    <w:uiPriority w:val="39"/>
    <w:unhideWhenUsed/>
    <w:qFormat/>
    <w:rsid w:val="00B466E4"/>
    <w:pPr>
      <w:keepNext/>
      <w:keepLines/>
      <w:spacing w:before="240" w:line="259" w:lineRule="auto"/>
      <w:jc w:val="left"/>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unhideWhenUsed/>
    <w:rsid w:val="00B466E4"/>
    <w:pPr>
      <w:spacing w:before="360"/>
    </w:pPr>
    <w:rPr>
      <w:rFonts w:asciiTheme="majorHAnsi" w:hAnsiTheme="majorHAnsi" w:cstheme="majorHAnsi"/>
      <w:b/>
      <w:bCs/>
      <w:caps/>
    </w:rPr>
  </w:style>
  <w:style w:type="paragraph" w:styleId="TOC2">
    <w:name w:val="toc 2"/>
    <w:basedOn w:val="Normal"/>
    <w:next w:val="Normal"/>
    <w:autoRedefine/>
    <w:uiPriority w:val="39"/>
    <w:unhideWhenUsed/>
    <w:rsid w:val="00B466E4"/>
    <w:pPr>
      <w:spacing w:before="240"/>
    </w:pPr>
    <w:rPr>
      <w:b/>
      <w:bCs/>
      <w:sz w:val="20"/>
      <w:szCs w:val="20"/>
    </w:rPr>
  </w:style>
  <w:style w:type="paragraph" w:styleId="TOC3">
    <w:name w:val="toc 3"/>
    <w:basedOn w:val="Normal"/>
    <w:next w:val="Normal"/>
    <w:autoRedefine/>
    <w:uiPriority w:val="39"/>
    <w:unhideWhenUsed/>
    <w:rsid w:val="000407A1"/>
    <w:pPr>
      <w:ind w:left="240"/>
    </w:pPr>
    <w:rPr>
      <w:sz w:val="20"/>
      <w:szCs w:val="20"/>
    </w:rPr>
  </w:style>
  <w:style w:type="paragraph" w:styleId="TOC4">
    <w:name w:val="toc 4"/>
    <w:basedOn w:val="Normal"/>
    <w:next w:val="Normal"/>
    <w:autoRedefine/>
    <w:uiPriority w:val="39"/>
    <w:unhideWhenUsed/>
    <w:rsid w:val="000407A1"/>
    <w:pPr>
      <w:ind w:left="480"/>
    </w:pPr>
    <w:rPr>
      <w:sz w:val="20"/>
      <w:szCs w:val="20"/>
    </w:rPr>
  </w:style>
  <w:style w:type="paragraph" w:styleId="TOC5">
    <w:name w:val="toc 5"/>
    <w:basedOn w:val="Normal"/>
    <w:next w:val="Normal"/>
    <w:autoRedefine/>
    <w:uiPriority w:val="39"/>
    <w:unhideWhenUsed/>
    <w:rsid w:val="000407A1"/>
    <w:pPr>
      <w:ind w:left="720"/>
    </w:pPr>
    <w:rPr>
      <w:sz w:val="20"/>
      <w:szCs w:val="20"/>
    </w:rPr>
  </w:style>
  <w:style w:type="paragraph" w:styleId="TOC6">
    <w:name w:val="toc 6"/>
    <w:basedOn w:val="Normal"/>
    <w:next w:val="Normal"/>
    <w:autoRedefine/>
    <w:uiPriority w:val="39"/>
    <w:unhideWhenUsed/>
    <w:rsid w:val="000407A1"/>
    <w:pPr>
      <w:ind w:left="960"/>
    </w:pPr>
    <w:rPr>
      <w:sz w:val="20"/>
      <w:szCs w:val="20"/>
    </w:rPr>
  </w:style>
  <w:style w:type="paragraph" w:styleId="TOC7">
    <w:name w:val="toc 7"/>
    <w:basedOn w:val="Normal"/>
    <w:next w:val="Normal"/>
    <w:autoRedefine/>
    <w:uiPriority w:val="39"/>
    <w:unhideWhenUsed/>
    <w:rsid w:val="000407A1"/>
    <w:pPr>
      <w:ind w:left="1200"/>
    </w:pPr>
    <w:rPr>
      <w:sz w:val="20"/>
      <w:szCs w:val="20"/>
    </w:rPr>
  </w:style>
  <w:style w:type="paragraph" w:styleId="TOC8">
    <w:name w:val="toc 8"/>
    <w:basedOn w:val="Normal"/>
    <w:next w:val="Normal"/>
    <w:autoRedefine/>
    <w:uiPriority w:val="39"/>
    <w:unhideWhenUsed/>
    <w:rsid w:val="000407A1"/>
    <w:pPr>
      <w:ind w:left="1440"/>
    </w:pPr>
    <w:rPr>
      <w:sz w:val="20"/>
      <w:szCs w:val="20"/>
    </w:rPr>
  </w:style>
  <w:style w:type="paragraph" w:styleId="TOC9">
    <w:name w:val="toc 9"/>
    <w:basedOn w:val="Normal"/>
    <w:next w:val="Normal"/>
    <w:autoRedefine/>
    <w:uiPriority w:val="39"/>
    <w:unhideWhenUsed/>
    <w:rsid w:val="000407A1"/>
    <w:pPr>
      <w:ind w:left="168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326650">
      <w:bodyDiv w:val="1"/>
      <w:marLeft w:val="0"/>
      <w:marRight w:val="0"/>
      <w:marTop w:val="0"/>
      <w:marBottom w:val="0"/>
      <w:divBdr>
        <w:top w:val="none" w:sz="0" w:space="0" w:color="auto"/>
        <w:left w:val="none" w:sz="0" w:space="0" w:color="auto"/>
        <w:bottom w:val="none" w:sz="0" w:space="0" w:color="auto"/>
        <w:right w:val="none" w:sz="0" w:space="0" w:color="auto"/>
      </w:divBdr>
    </w:div>
    <w:div w:id="95904454">
      <w:bodyDiv w:val="1"/>
      <w:marLeft w:val="0"/>
      <w:marRight w:val="0"/>
      <w:marTop w:val="0"/>
      <w:marBottom w:val="0"/>
      <w:divBdr>
        <w:top w:val="none" w:sz="0" w:space="0" w:color="auto"/>
        <w:left w:val="none" w:sz="0" w:space="0" w:color="auto"/>
        <w:bottom w:val="none" w:sz="0" w:space="0" w:color="auto"/>
        <w:right w:val="none" w:sz="0" w:space="0" w:color="auto"/>
      </w:divBdr>
    </w:div>
    <w:div w:id="282229271">
      <w:bodyDiv w:val="1"/>
      <w:marLeft w:val="0"/>
      <w:marRight w:val="0"/>
      <w:marTop w:val="0"/>
      <w:marBottom w:val="0"/>
      <w:divBdr>
        <w:top w:val="none" w:sz="0" w:space="0" w:color="auto"/>
        <w:left w:val="none" w:sz="0" w:space="0" w:color="auto"/>
        <w:bottom w:val="none" w:sz="0" w:space="0" w:color="auto"/>
        <w:right w:val="none" w:sz="0" w:space="0" w:color="auto"/>
      </w:divBdr>
    </w:div>
    <w:div w:id="450364255">
      <w:bodyDiv w:val="1"/>
      <w:marLeft w:val="0"/>
      <w:marRight w:val="0"/>
      <w:marTop w:val="0"/>
      <w:marBottom w:val="0"/>
      <w:divBdr>
        <w:top w:val="none" w:sz="0" w:space="0" w:color="auto"/>
        <w:left w:val="none" w:sz="0" w:space="0" w:color="auto"/>
        <w:bottom w:val="none" w:sz="0" w:space="0" w:color="auto"/>
        <w:right w:val="none" w:sz="0" w:space="0" w:color="auto"/>
      </w:divBdr>
    </w:div>
    <w:div w:id="566720711">
      <w:bodyDiv w:val="1"/>
      <w:marLeft w:val="0"/>
      <w:marRight w:val="0"/>
      <w:marTop w:val="0"/>
      <w:marBottom w:val="0"/>
      <w:divBdr>
        <w:top w:val="none" w:sz="0" w:space="0" w:color="auto"/>
        <w:left w:val="none" w:sz="0" w:space="0" w:color="auto"/>
        <w:bottom w:val="none" w:sz="0" w:space="0" w:color="auto"/>
        <w:right w:val="none" w:sz="0" w:space="0" w:color="auto"/>
      </w:divBdr>
    </w:div>
    <w:div w:id="651445754">
      <w:bodyDiv w:val="1"/>
      <w:marLeft w:val="0"/>
      <w:marRight w:val="0"/>
      <w:marTop w:val="0"/>
      <w:marBottom w:val="0"/>
      <w:divBdr>
        <w:top w:val="none" w:sz="0" w:space="0" w:color="auto"/>
        <w:left w:val="none" w:sz="0" w:space="0" w:color="auto"/>
        <w:bottom w:val="none" w:sz="0" w:space="0" w:color="auto"/>
        <w:right w:val="none" w:sz="0" w:space="0" w:color="auto"/>
      </w:divBdr>
    </w:div>
    <w:div w:id="727263289">
      <w:bodyDiv w:val="1"/>
      <w:marLeft w:val="0"/>
      <w:marRight w:val="0"/>
      <w:marTop w:val="0"/>
      <w:marBottom w:val="0"/>
      <w:divBdr>
        <w:top w:val="none" w:sz="0" w:space="0" w:color="auto"/>
        <w:left w:val="none" w:sz="0" w:space="0" w:color="auto"/>
        <w:bottom w:val="none" w:sz="0" w:space="0" w:color="auto"/>
        <w:right w:val="none" w:sz="0" w:space="0" w:color="auto"/>
      </w:divBdr>
    </w:div>
    <w:div w:id="731738942">
      <w:bodyDiv w:val="1"/>
      <w:marLeft w:val="0"/>
      <w:marRight w:val="0"/>
      <w:marTop w:val="0"/>
      <w:marBottom w:val="0"/>
      <w:divBdr>
        <w:top w:val="none" w:sz="0" w:space="0" w:color="auto"/>
        <w:left w:val="none" w:sz="0" w:space="0" w:color="auto"/>
        <w:bottom w:val="none" w:sz="0" w:space="0" w:color="auto"/>
        <w:right w:val="none" w:sz="0" w:space="0" w:color="auto"/>
      </w:divBdr>
    </w:div>
    <w:div w:id="736318839">
      <w:bodyDiv w:val="1"/>
      <w:marLeft w:val="0"/>
      <w:marRight w:val="0"/>
      <w:marTop w:val="0"/>
      <w:marBottom w:val="0"/>
      <w:divBdr>
        <w:top w:val="none" w:sz="0" w:space="0" w:color="auto"/>
        <w:left w:val="none" w:sz="0" w:space="0" w:color="auto"/>
        <w:bottom w:val="none" w:sz="0" w:space="0" w:color="auto"/>
        <w:right w:val="none" w:sz="0" w:space="0" w:color="auto"/>
      </w:divBdr>
      <w:divsChild>
        <w:div w:id="598951145">
          <w:marLeft w:val="0"/>
          <w:marRight w:val="0"/>
          <w:marTop w:val="0"/>
          <w:marBottom w:val="0"/>
          <w:divBdr>
            <w:top w:val="none" w:sz="0" w:space="0" w:color="auto"/>
            <w:left w:val="none" w:sz="0" w:space="0" w:color="auto"/>
            <w:bottom w:val="none" w:sz="0" w:space="0" w:color="auto"/>
            <w:right w:val="none" w:sz="0" w:space="0" w:color="auto"/>
          </w:divBdr>
          <w:divsChild>
            <w:div w:id="64778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688408">
      <w:bodyDiv w:val="1"/>
      <w:marLeft w:val="0"/>
      <w:marRight w:val="0"/>
      <w:marTop w:val="0"/>
      <w:marBottom w:val="0"/>
      <w:divBdr>
        <w:top w:val="none" w:sz="0" w:space="0" w:color="auto"/>
        <w:left w:val="none" w:sz="0" w:space="0" w:color="auto"/>
        <w:bottom w:val="none" w:sz="0" w:space="0" w:color="auto"/>
        <w:right w:val="none" w:sz="0" w:space="0" w:color="auto"/>
      </w:divBdr>
    </w:div>
    <w:div w:id="1397315747">
      <w:bodyDiv w:val="1"/>
      <w:marLeft w:val="0"/>
      <w:marRight w:val="0"/>
      <w:marTop w:val="0"/>
      <w:marBottom w:val="0"/>
      <w:divBdr>
        <w:top w:val="none" w:sz="0" w:space="0" w:color="auto"/>
        <w:left w:val="none" w:sz="0" w:space="0" w:color="auto"/>
        <w:bottom w:val="none" w:sz="0" w:space="0" w:color="auto"/>
        <w:right w:val="none" w:sz="0" w:space="0" w:color="auto"/>
      </w:divBdr>
    </w:div>
    <w:div w:id="1403869717">
      <w:bodyDiv w:val="1"/>
      <w:marLeft w:val="0"/>
      <w:marRight w:val="0"/>
      <w:marTop w:val="0"/>
      <w:marBottom w:val="0"/>
      <w:divBdr>
        <w:top w:val="none" w:sz="0" w:space="0" w:color="auto"/>
        <w:left w:val="none" w:sz="0" w:space="0" w:color="auto"/>
        <w:bottom w:val="none" w:sz="0" w:space="0" w:color="auto"/>
        <w:right w:val="none" w:sz="0" w:space="0" w:color="auto"/>
      </w:divBdr>
    </w:div>
    <w:div w:id="1607926164">
      <w:bodyDiv w:val="1"/>
      <w:marLeft w:val="0"/>
      <w:marRight w:val="0"/>
      <w:marTop w:val="0"/>
      <w:marBottom w:val="0"/>
      <w:divBdr>
        <w:top w:val="none" w:sz="0" w:space="0" w:color="auto"/>
        <w:left w:val="none" w:sz="0" w:space="0" w:color="auto"/>
        <w:bottom w:val="none" w:sz="0" w:space="0" w:color="auto"/>
        <w:right w:val="none" w:sz="0" w:space="0" w:color="auto"/>
      </w:divBdr>
    </w:div>
    <w:div w:id="1611161594">
      <w:bodyDiv w:val="1"/>
      <w:marLeft w:val="0"/>
      <w:marRight w:val="0"/>
      <w:marTop w:val="0"/>
      <w:marBottom w:val="0"/>
      <w:divBdr>
        <w:top w:val="none" w:sz="0" w:space="0" w:color="auto"/>
        <w:left w:val="none" w:sz="0" w:space="0" w:color="auto"/>
        <w:bottom w:val="none" w:sz="0" w:space="0" w:color="auto"/>
        <w:right w:val="none" w:sz="0" w:space="0" w:color="auto"/>
      </w:divBdr>
    </w:div>
    <w:div w:id="19939447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caplink.org/" TargetMode="External"/><Relationship Id="rId21" Type="http://schemas.openxmlformats.org/officeDocument/2006/relationships/hyperlink" Target="https://www.hhs.gov/provider-relief/index.html" TargetMode="External"/><Relationship Id="rId42" Type="http://schemas.openxmlformats.org/officeDocument/2006/relationships/hyperlink" Target="https://www.irs.gov/pub/irs-drop/n-20-22.pdf" TargetMode="External"/><Relationship Id="rId47" Type="http://schemas.openxmlformats.org/officeDocument/2006/relationships/hyperlink" Target="https://www.federalreserve.gov/newsevents/pressreleases/files/monetary20200409a7.pdf" TargetMode="External"/><Relationship Id="rId63" Type="http://schemas.openxmlformats.org/officeDocument/2006/relationships/image" Target="media/image2.jpeg"/><Relationship Id="rId68"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bphc.hrsa.gov/emergency-response/coronavirus-frequently-asked-questions.html" TargetMode="External"/><Relationship Id="rId29" Type="http://schemas.openxmlformats.org/officeDocument/2006/relationships/hyperlink" Target="https://www.dol.gov/agencies/whd/pandemic/ffcra-questions" TargetMode="External"/><Relationship Id="rId11" Type="http://schemas.openxmlformats.org/officeDocument/2006/relationships/hyperlink" Target="https://www.hhs.gov/provider-relief/index.html" TargetMode="External"/><Relationship Id="rId24" Type="http://schemas.openxmlformats.org/officeDocument/2006/relationships/hyperlink" Target="https://www.sba.gov/funding-programs/loans/lender-match" TargetMode="External"/><Relationship Id="rId32" Type="http://schemas.openxmlformats.org/officeDocument/2006/relationships/hyperlink" Target="https://www.sba.gov/tools/local-assistance/sbdc/" TargetMode="External"/><Relationship Id="rId37" Type="http://schemas.openxmlformats.org/officeDocument/2006/relationships/hyperlink" Target="https://cdn1.digitellinc.com/uploads/nachc/articles/4965843c8da3ec3ab1ab91620cd9bae8.pdf" TargetMode="External"/><Relationship Id="rId40" Type="http://schemas.openxmlformats.org/officeDocument/2006/relationships/hyperlink" Target="https://disasterloan.sba.gov/ela/" TargetMode="External"/><Relationship Id="rId45" Type="http://schemas.openxmlformats.org/officeDocument/2006/relationships/hyperlink" Target="https://www.fema.gov/media-library-data/1525468328389-4a038bbef9081cd7dfe7538e7751aa9c/PAPPG_3.1_508_FINAL_5-4-2018.pdf" TargetMode="External"/><Relationship Id="rId53" Type="http://schemas.openxmlformats.org/officeDocument/2006/relationships/hyperlink" Target="mailto:disastercustomerservice@sba.gov" TargetMode="External"/><Relationship Id="rId58" Type="http://schemas.openxmlformats.org/officeDocument/2006/relationships/hyperlink" Target="https://www.cms.gov/files/document/Accelerated-and-Advanced-Payments-Fact-Sheet.pdf" TargetMode="External"/><Relationship Id="rId66" Type="http://schemas.openxmlformats.org/officeDocument/2006/relationships/hyperlink" Target="https://www.fema.gov/media-library-data/1525468328389-4a038bbef9081cd7dfe7538e7751aa9c/PAPPG_3.1_508_FINAL_5-4-2018.pdf" TargetMode="External"/><Relationship Id="rId5" Type="http://schemas.openxmlformats.org/officeDocument/2006/relationships/webSettings" Target="webSettings.xml"/><Relationship Id="rId61" Type="http://schemas.openxmlformats.org/officeDocument/2006/relationships/hyperlink" Target="https://www.fema.gov/news-release/2020/03/23/coronavirus-covid-19-pandemic-public-assistance-simplified-application" TargetMode="External"/><Relationship Id="rId19" Type="http://schemas.openxmlformats.org/officeDocument/2006/relationships/hyperlink" Target="https://www.whitehouse.gov/wp-content/uploads/2020/03/M-20-17.pdf" TargetMode="External"/><Relationship Id="rId14" Type="http://schemas.openxmlformats.org/officeDocument/2006/relationships/hyperlink" Target="https://www.congress.gov/116/bills/hr6074/BILLS-116hr6074enr.pdf" TargetMode="External"/><Relationship Id="rId22" Type="http://schemas.openxmlformats.org/officeDocument/2006/relationships/hyperlink" Target="https://www.hhs.gov/sites/default/files/relief-fund-payment-terms-and-conditions-04132020.pdf" TargetMode="External"/><Relationship Id="rId27" Type="http://schemas.openxmlformats.org/officeDocument/2006/relationships/hyperlink" Target="https://www.dol.gov/agencies/whd/pandemic/ffcra-employer-paid-leave" TargetMode="External"/><Relationship Id="rId30" Type="http://schemas.openxmlformats.org/officeDocument/2006/relationships/hyperlink" Target="https://www.congress.gov/bill/116th-congress/house-bill/748/text" TargetMode="External"/><Relationship Id="rId35" Type="http://schemas.openxmlformats.org/officeDocument/2006/relationships/hyperlink" Target="https://home.treasury.gov/system/files/136/PPP--Fact-Sheet.pdf" TargetMode="External"/><Relationship Id="rId43" Type="http://schemas.openxmlformats.org/officeDocument/2006/relationships/hyperlink" Target="https://www.careeronestop.org/LocalHelp/UnemploymentBenefits/find-unemployment-benefits.aspx" TargetMode="External"/><Relationship Id="rId48" Type="http://schemas.openxmlformats.org/officeDocument/2006/relationships/hyperlink" Target="https://www.federalreserve.gov/newsevents/pressreleases/files/monetary20200409a4.pdf" TargetMode="External"/><Relationship Id="rId56" Type="http://schemas.openxmlformats.org/officeDocument/2006/relationships/hyperlink" Target="https://www.irs.gov/forms-pubs/about-form-7200" TargetMode="External"/><Relationship Id="rId64" Type="http://schemas.openxmlformats.org/officeDocument/2006/relationships/hyperlink" Target="https://www.fema.gov/news-release/2020/03/23/coronavirus-covid-19-pandemic-public-assistance-simplified-application" TargetMode="External"/><Relationship Id="rId69"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s://www.sba.gov/disaster-assistance/coronavirus-covid-19" TargetMode="External"/><Relationship Id="rId3" Type="http://schemas.openxmlformats.org/officeDocument/2006/relationships/styles" Target="styles.xml"/><Relationship Id="rId12" Type="http://schemas.openxmlformats.org/officeDocument/2006/relationships/hyperlink" Target="https://www.hhs.gov/sites/default/files/relief-fund-payment-terms-and-conditions-04132020.pdf" TargetMode="External"/><Relationship Id="rId17" Type="http://schemas.openxmlformats.org/officeDocument/2006/relationships/hyperlink" Target="https://www.congress.gov/116/bills/hr6074/BILLS-116hr6074enr.pdf" TargetMode="External"/><Relationship Id="rId25" Type="http://schemas.openxmlformats.org/officeDocument/2006/relationships/hyperlink" Target="https://www.sba.gov/tools/local-assistance/sbdc/" TargetMode="External"/><Relationship Id="rId33" Type="http://schemas.openxmlformats.org/officeDocument/2006/relationships/hyperlink" Target="http://caplink.org/" TargetMode="External"/><Relationship Id="rId38" Type="http://schemas.openxmlformats.org/officeDocument/2006/relationships/hyperlink" Target="https://www.dol.gov/agencies/whd/pandemic/ffcra-employer-paid-leave" TargetMode="External"/><Relationship Id="rId46" Type="http://schemas.openxmlformats.org/officeDocument/2006/relationships/hyperlink" Target="https://www.federalreserve.gov/monetarypolicy/main.htm" TargetMode="External"/><Relationship Id="rId59" Type="http://schemas.openxmlformats.org/officeDocument/2006/relationships/hyperlink" Target="https://www.careeronestop.org/LocalHelp/UnemploymentBenefits/find-unemployment-benefits.aspx" TargetMode="External"/><Relationship Id="rId67" Type="http://schemas.openxmlformats.org/officeDocument/2006/relationships/hyperlink" Target="mailto:cmeiman@nachc.org" TargetMode="External"/><Relationship Id="rId20" Type="http://schemas.openxmlformats.org/officeDocument/2006/relationships/hyperlink" Target="https://www.hhs.gov/sites/default/files/relief-fund-payment-terms-and-conditions-04132020.pdf" TargetMode="External"/><Relationship Id="rId41" Type="http://schemas.openxmlformats.org/officeDocument/2006/relationships/hyperlink" Target="https://www.irs.gov/forms-pubs/about-form-7200" TargetMode="External"/><Relationship Id="rId54" Type="http://schemas.openxmlformats.org/officeDocument/2006/relationships/hyperlink" Target="https://www.nytimes.com/2020/04/09/business/smallbusiness/small-business-disaster-loans-coronavirus.html" TargetMode="External"/><Relationship Id="rId62" Type="http://schemas.openxmlformats.org/officeDocument/2006/relationships/hyperlink" Target="https://grantee.fema.gov/"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congress.gov/116/bills/s3548/BILLS-116s3548is.pdf" TargetMode="External"/><Relationship Id="rId23" Type="http://schemas.openxmlformats.org/officeDocument/2006/relationships/hyperlink" Target="https://www.hhs.gov/provider-relief/index.html" TargetMode="External"/><Relationship Id="rId28" Type="http://schemas.openxmlformats.org/officeDocument/2006/relationships/hyperlink" Target="https://www.dol.gov/agencies/whd/pandemic/ffcra-employer-paid-leave" TargetMode="External"/><Relationship Id="rId36" Type="http://schemas.openxmlformats.org/officeDocument/2006/relationships/hyperlink" Target="https://www.congress.gov/bill/116th-congress/house-bill/6201" TargetMode="External"/><Relationship Id="rId49" Type="http://schemas.openxmlformats.org/officeDocument/2006/relationships/hyperlink" Target="https://www.congress.gov/bill/116th-congress/house-bill/6074" TargetMode="External"/><Relationship Id="rId57" Type="http://schemas.openxmlformats.org/officeDocument/2006/relationships/hyperlink" Target="https://www.irs.gov/pub/irs-drop/n-20-22.pdf" TargetMode="External"/><Relationship Id="rId10" Type="http://schemas.openxmlformats.org/officeDocument/2006/relationships/hyperlink" Target="https://www.nachc.org/wp-content/uploads/2020/04/NACHC-ltr-to-Sec-Azar-re-100B-FINAL.pdf" TargetMode="External"/><Relationship Id="rId31" Type="http://schemas.openxmlformats.org/officeDocument/2006/relationships/hyperlink" Target="https://www.sba.gov/funding-programs/loans/lender-match" TargetMode="External"/><Relationship Id="rId44" Type="http://schemas.openxmlformats.org/officeDocument/2006/relationships/hyperlink" Target="https://www.fema.gov/news-release/2020/03/19/coronavirus-covid-19-pandemic-eligible-emergency-protective-measures" TargetMode="External"/><Relationship Id="rId52" Type="http://schemas.openxmlformats.org/officeDocument/2006/relationships/hyperlink" Target="https://disasterloan.sba.gov/ela/" TargetMode="External"/><Relationship Id="rId60" Type="http://schemas.openxmlformats.org/officeDocument/2006/relationships/hyperlink" Target="https://www.fema.gov/media-library-data/1525468328389-4a038bbef9081cd7dfe7538e7751aa9c/PAPPG_3.1_508_FINAL_5-4-2018.pdf" TargetMode="External"/><Relationship Id="rId65" Type="http://schemas.openxmlformats.org/officeDocument/2006/relationships/hyperlink" Target="https://grantee.fema.gov/" TargetMode="External"/><Relationship Id="rId4" Type="http://schemas.openxmlformats.org/officeDocument/2006/relationships/settings" Target="settings.xml"/><Relationship Id="rId9" Type="http://schemas.openxmlformats.org/officeDocument/2006/relationships/hyperlink" Target="mailto:shansen@nachc.org" TargetMode="External"/><Relationship Id="rId13" Type="http://schemas.openxmlformats.org/officeDocument/2006/relationships/hyperlink" Target="https://bphc.hrsa.gov/emergency-response/coronavirus-frequently-asked-questions.html" TargetMode="External"/><Relationship Id="rId18" Type="http://schemas.openxmlformats.org/officeDocument/2006/relationships/hyperlink" Target="https://www.whitehouse.gov/wp-content/uploads/2020/03/M-20-11.pdf" TargetMode="External"/><Relationship Id="rId39" Type="http://schemas.openxmlformats.org/officeDocument/2006/relationships/hyperlink" Target="https://www.dol.gov/agencies/whd/pandemic/ffcra-questions" TargetMode="External"/><Relationship Id="rId34" Type="http://schemas.openxmlformats.org/officeDocument/2006/relationships/hyperlink" Target="https://protect-us.mimecast.com/s/MHIPCOY2DyI0WzrsEys5n" TargetMode="External"/><Relationship Id="rId50" Type="http://schemas.openxmlformats.org/officeDocument/2006/relationships/hyperlink" Target="https://www.sba.gov/disaster-assistance/coronavirus-covid-19" TargetMode="External"/><Relationship Id="rId55" Type="http://schemas.openxmlformats.org/officeDocument/2006/relationships/hyperlink" Target="https://www.irs.gov/forms-pubs/about-form-72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48FAAF-75D7-4738-8FC0-09408710A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8389</Words>
  <Characters>47820</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Colleen Meiman</dc:creator>
  <cp:lastModifiedBy>Lara D'Antonio</cp:lastModifiedBy>
  <cp:revision>2</cp:revision>
  <cp:lastPrinted>2020-04-15T19:25:00Z</cp:lastPrinted>
  <dcterms:created xsi:type="dcterms:W3CDTF">2020-04-17T10:38:00Z</dcterms:created>
  <dcterms:modified xsi:type="dcterms:W3CDTF">2020-04-17T10:38:00Z</dcterms:modified>
</cp:coreProperties>
</file>